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34" w:rsidRPr="00D41D34" w:rsidRDefault="00D41D34" w:rsidP="00D41D34">
      <w:pPr>
        <w:jc w:val="right"/>
        <w:rPr>
          <w:b/>
        </w:rPr>
      </w:pPr>
      <w:r w:rsidRPr="00D41D34">
        <w:rPr>
          <w:b/>
        </w:rPr>
        <w:t>Revisado em 21/1/2016</w:t>
      </w:r>
    </w:p>
    <w:p w:rsidR="007B44E4" w:rsidRPr="008B317E" w:rsidRDefault="008544DA" w:rsidP="007B44E4">
      <w:r>
        <w:t xml:space="preserve">Tema </w:t>
      </w:r>
      <w:r w:rsidR="00DD22BA">
        <w:t>10</w:t>
      </w:r>
      <w:r w:rsidR="007B44E4" w:rsidRPr="008B317E">
        <w:t xml:space="preserve"> </w:t>
      </w:r>
      <w:r w:rsidR="00237E5E" w:rsidRPr="008B317E">
        <w:t>-</w:t>
      </w:r>
      <w:r w:rsidR="00441B18" w:rsidRPr="008B317E">
        <w:t xml:space="preserve"> </w:t>
      </w:r>
      <w:r w:rsidR="008B66AD" w:rsidRPr="008B317E">
        <w:t>Saque em espécie</w:t>
      </w:r>
      <w:r w:rsidR="003768EB">
        <w:t xml:space="preserve"> </w:t>
      </w:r>
      <w:r w:rsidR="00433355">
        <w:t>em contas que de</w:t>
      </w:r>
      <w:bookmarkStart w:id="0" w:name="_GoBack"/>
      <w:bookmarkEnd w:id="0"/>
      <w:r w:rsidR="00433355">
        <w:t>têm</w:t>
      </w:r>
      <w:r w:rsidR="003768EB">
        <w:t xml:space="preserve"> recursos de convênio</w:t>
      </w:r>
      <w:r w:rsidR="008B66AD" w:rsidRPr="008B317E">
        <w:t>.</w:t>
      </w:r>
    </w:p>
    <w:p w:rsidR="008B66AD" w:rsidRPr="008B317E" w:rsidRDefault="008B66AD" w:rsidP="00D41D34">
      <w:pPr>
        <w:spacing w:before="360" w:after="360"/>
        <w:rPr>
          <w:b/>
          <w:bCs/>
          <w:color w:val="000000"/>
        </w:rPr>
      </w:pPr>
      <w:r w:rsidRPr="008B317E">
        <w:rPr>
          <w:rFonts w:eastAsia="Times New Roman"/>
          <w:b/>
          <w:bCs/>
          <w:color w:val="365F91"/>
        </w:rPr>
        <w:t>O saque em espécie, além de contrariar normativo legal, impede</w:t>
      </w:r>
      <w:r w:rsidR="002F4A2F" w:rsidRPr="008B317E">
        <w:rPr>
          <w:rFonts w:eastAsia="Times New Roman"/>
          <w:b/>
          <w:bCs/>
          <w:color w:val="365F91"/>
        </w:rPr>
        <w:t xml:space="preserve">, em regra, </w:t>
      </w:r>
      <w:r w:rsidRPr="008B317E">
        <w:rPr>
          <w:rFonts w:eastAsia="Times New Roman"/>
          <w:b/>
          <w:bCs/>
          <w:color w:val="365F91"/>
        </w:rPr>
        <w:t>o estabelecimento de nexo de causalidade entre os saques realizados e a execução do objeto pactuado por meio de convênio ou congênere</w:t>
      </w:r>
      <w:r w:rsidR="00D10462">
        <w:rPr>
          <w:rFonts w:eastAsia="Times New Roman"/>
          <w:b/>
          <w:bCs/>
          <w:color w:val="365F91"/>
        </w:rPr>
        <w:t>,</w:t>
      </w:r>
      <w:r w:rsidRPr="008B317E">
        <w:rPr>
          <w:rFonts w:eastAsia="Times New Roman"/>
          <w:b/>
          <w:bCs/>
          <w:color w:val="365F91"/>
        </w:rPr>
        <w:t xml:space="preserve"> custead</w:t>
      </w:r>
      <w:r w:rsidR="00D10462">
        <w:rPr>
          <w:rFonts w:eastAsia="Times New Roman"/>
          <w:b/>
          <w:bCs/>
          <w:color w:val="365F91"/>
        </w:rPr>
        <w:t>a</w:t>
      </w:r>
      <w:r w:rsidRPr="008B317E">
        <w:rPr>
          <w:rFonts w:eastAsia="Times New Roman"/>
          <w:b/>
          <w:bCs/>
          <w:color w:val="365F91"/>
        </w:rPr>
        <w:t xml:space="preserve"> com recursos federais.</w:t>
      </w:r>
    </w:p>
    <w:p w:rsidR="007B44E4" w:rsidRDefault="00D250D7" w:rsidP="009D4581">
      <w:pPr>
        <w:pStyle w:val="Corpodetexto"/>
        <w:spacing w:before="120" w:after="120"/>
        <w:ind w:firstLine="1134"/>
      </w:pPr>
      <w:r>
        <w:t>N</w:t>
      </w:r>
      <w:r w:rsidR="008B66AD" w:rsidRPr="008B317E">
        <w:t>a execução d</w:t>
      </w:r>
      <w:r w:rsidR="00237E5E" w:rsidRPr="008B317E">
        <w:t xml:space="preserve">o </w:t>
      </w:r>
      <w:r w:rsidR="00D4390A" w:rsidRPr="008B317E">
        <w:t>c</w:t>
      </w:r>
      <w:r w:rsidR="00237E5E" w:rsidRPr="008B317E">
        <w:t xml:space="preserve">onvênio </w:t>
      </w:r>
      <w:r w:rsidR="008B66AD" w:rsidRPr="008B317E">
        <w:t xml:space="preserve">em análise, ocorreram saques em espécie, conforme demonstram os documentos de </w:t>
      </w:r>
      <w:r w:rsidR="00A260DB">
        <w:t xml:space="preserve">peça </w:t>
      </w:r>
      <w:r w:rsidR="00A260DB">
        <w:rPr>
          <w:color w:val="FF0000"/>
        </w:rPr>
        <w:t>&lt;&lt;</w:t>
      </w:r>
      <w:proofErr w:type="spellStart"/>
      <w:r w:rsidR="00A260DB">
        <w:rPr>
          <w:color w:val="FF0000"/>
        </w:rPr>
        <w:t>xx</w:t>
      </w:r>
      <w:proofErr w:type="spellEnd"/>
      <w:r w:rsidR="00A260DB">
        <w:rPr>
          <w:color w:val="FF0000"/>
        </w:rPr>
        <w:t>&gt;&gt;</w:t>
      </w:r>
      <w:r w:rsidR="00A260DB">
        <w:t xml:space="preserve">, p. </w:t>
      </w:r>
      <w:r w:rsidR="00A260DB">
        <w:rPr>
          <w:color w:val="FF0000"/>
        </w:rPr>
        <w:t>&lt;&lt;</w:t>
      </w:r>
      <w:proofErr w:type="spellStart"/>
      <w:r w:rsidR="00A260DB">
        <w:rPr>
          <w:color w:val="FF0000"/>
        </w:rPr>
        <w:t>xx-xx</w:t>
      </w:r>
      <w:proofErr w:type="spellEnd"/>
      <w:r w:rsidR="00A260DB">
        <w:rPr>
          <w:color w:val="FF0000"/>
        </w:rPr>
        <w:t>&gt;&gt;</w:t>
      </w:r>
      <w:r w:rsidR="00A260DB" w:rsidRPr="00A260DB">
        <w:t>.</w:t>
      </w:r>
    </w:p>
    <w:p w:rsidR="00D273B0" w:rsidRDefault="00433355" w:rsidP="003768EB">
      <w:pPr>
        <w:pStyle w:val="Corpodetexto"/>
        <w:spacing w:before="120" w:after="120"/>
        <w:ind w:firstLine="1134"/>
      </w:pPr>
      <w:r>
        <w:t>O entendimento consolidado desta Corte</w:t>
      </w:r>
      <w:r w:rsidR="00052B2C">
        <w:t xml:space="preserve"> sobre a matéria</w:t>
      </w:r>
      <w:r w:rsidR="00AB68A3">
        <w:t xml:space="preserve"> é</w:t>
      </w:r>
      <w:r w:rsidR="00D273B0">
        <w:t xml:space="preserve"> no sentido</w:t>
      </w:r>
      <w:r w:rsidR="00AB68A3">
        <w:t xml:space="preserve"> de que</w:t>
      </w:r>
      <w:r w:rsidR="00D273B0">
        <w:t xml:space="preserve"> os </w:t>
      </w:r>
      <w:r w:rsidR="008B66AD" w:rsidRPr="008B66AD">
        <w:t>saque</w:t>
      </w:r>
      <w:r w:rsidR="00D273B0">
        <w:t>s</w:t>
      </w:r>
      <w:r w:rsidR="008B66AD" w:rsidRPr="008B66AD">
        <w:t xml:space="preserve"> em espécie</w:t>
      </w:r>
      <w:r w:rsidR="00D273B0">
        <w:t xml:space="preserve"> nas contas que det</w:t>
      </w:r>
      <w:r w:rsidR="002F4A2F">
        <w:t>ê</w:t>
      </w:r>
      <w:r w:rsidR="00D273B0">
        <w:t xml:space="preserve">m recursos de convênio contrariam </w:t>
      </w:r>
      <w:r>
        <w:t xml:space="preserve">não apenas </w:t>
      </w:r>
      <w:r w:rsidR="00D273B0">
        <w:t>os normativos legais vigentes</w:t>
      </w:r>
      <w:r>
        <w:t xml:space="preserve">, mas impedem </w:t>
      </w:r>
      <w:r w:rsidR="008B66AD" w:rsidRPr="008B66AD">
        <w:t xml:space="preserve">o estabelecimento de nexo de causalidade entre os </w:t>
      </w:r>
      <w:r w:rsidR="003768EB">
        <w:t>valores retirados da conta</w:t>
      </w:r>
      <w:r w:rsidR="008B66AD" w:rsidRPr="008B66AD">
        <w:t xml:space="preserve"> e a execução do objeto pactuado por meio de convênio ou congênere custead</w:t>
      </w:r>
      <w:r w:rsidR="006B0816">
        <w:t>a</w:t>
      </w:r>
      <w:r w:rsidR="008B66AD" w:rsidRPr="008B66AD">
        <w:t xml:space="preserve"> com recursos </w:t>
      </w:r>
      <w:r w:rsidR="003768EB">
        <w:t>públicos</w:t>
      </w:r>
      <w:r w:rsidR="00D273B0">
        <w:t xml:space="preserve">, o que </w:t>
      </w:r>
      <w:r w:rsidR="00B14E4C">
        <w:t xml:space="preserve">obsta </w:t>
      </w:r>
      <w:r w:rsidR="00B22856">
        <w:t>a comprovação da regular aplicação dos recursos públicos repassados</w:t>
      </w:r>
      <w:r w:rsidR="000A0B9B">
        <w:t xml:space="preserve"> (Acórdãos 997/2015-TCU-Plenário, 2.190/2015-TCU-2ª Câmara, 3.451/2015-TCU-2ª Câmara, 5.440/2015-TCU-1ª Câmara, 5.678/2015-TCU-2ª Câmara, 6.951/2015-TCU-1ª Câmara e 9.361/2015-TCU-2ª Câmara).  </w:t>
      </w:r>
    </w:p>
    <w:p w:rsidR="007A1A35" w:rsidRDefault="00AC46D5" w:rsidP="00FE6B40">
      <w:pPr>
        <w:pStyle w:val="Corpodetexto"/>
        <w:spacing w:before="120" w:after="120"/>
        <w:ind w:firstLine="1134"/>
      </w:pPr>
      <w:r w:rsidRPr="00204435">
        <w:t xml:space="preserve">Desse modo, </w:t>
      </w:r>
      <w:r w:rsidR="003C4853">
        <w:t>os saques em espécie dos valores do convênio são irregulares</w:t>
      </w:r>
      <w:r w:rsidR="00903AAD">
        <w:t xml:space="preserve"> já que impedem a </w:t>
      </w:r>
      <w:r w:rsidR="00E8717B">
        <w:t>estabelecimento</w:t>
      </w:r>
      <w:r w:rsidR="00903AAD">
        <w:t xml:space="preserve"> do nexo de causalidade entre os dispêndios efetuados e a comprovação da execução do objeto avençado</w:t>
      </w:r>
      <w:r w:rsidR="00FE6B40">
        <w:t xml:space="preserve">, </w:t>
      </w:r>
      <w:r w:rsidR="00903AAD">
        <w:t xml:space="preserve">em </w:t>
      </w:r>
      <w:r w:rsidR="00E8717B">
        <w:t>contrariedade às</w:t>
      </w:r>
      <w:r w:rsidR="00FE6B40">
        <w:t xml:space="preserve"> normas que regulam a matéria</w:t>
      </w:r>
      <w:r w:rsidR="00903AAD">
        <w:t xml:space="preserve"> e à jurisprudência deste Tribunal</w:t>
      </w:r>
      <w:r w:rsidR="00804A90">
        <w:t>, o que enseja a irregularidade das contas, com imputação de débito e aplicação de multa aos gestores responsáveis.</w:t>
      </w:r>
    </w:p>
    <w:p w:rsidR="00831ADB" w:rsidRPr="000A0B9B" w:rsidRDefault="00831ADB" w:rsidP="00D41D34">
      <w:pPr>
        <w:pStyle w:val="Corpodetexto"/>
        <w:spacing w:before="360" w:after="360"/>
        <w:rPr>
          <w:color w:val="365F91" w:themeColor="accent1" w:themeShade="BF"/>
        </w:rPr>
      </w:pPr>
      <w:r w:rsidRPr="000A0B9B">
        <w:rPr>
          <w:color w:val="365F91" w:themeColor="accent1" w:themeShade="BF"/>
        </w:rPr>
        <w:t>Área: Convênio e congênere; Tema: Prestação e tomada de contas; Subtema: Nexo de causalidade.</w:t>
      </w:r>
    </w:p>
    <w:sectPr w:rsidR="00831ADB" w:rsidRPr="000A0B9B" w:rsidSect="00FB3BA6">
      <w:pgSz w:w="11906" w:h="16838" w:code="9"/>
      <w:pgMar w:top="1418" w:right="567" w:bottom="851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4"/>
    <w:rsid w:val="00032AC9"/>
    <w:rsid w:val="00052B2C"/>
    <w:rsid w:val="00056B5F"/>
    <w:rsid w:val="00094418"/>
    <w:rsid w:val="000A0B9B"/>
    <w:rsid w:val="000B2AFA"/>
    <w:rsid w:val="000F0469"/>
    <w:rsid w:val="000F32FE"/>
    <w:rsid w:val="0010478C"/>
    <w:rsid w:val="0014577F"/>
    <w:rsid w:val="001E2A32"/>
    <w:rsid w:val="001E4147"/>
    <w:rsid w:val="00237E5E"/>
    <w:rsid w:val="002613A5"/>
    <w:rsid w:val="002A3B3F"/>
    <w:rsid w:val="002F4A2F"/>
    <w:rsid w:val="003443DF"/>
    <w:rsid w:val="003768EB"/>
    <w:rsid w:val="003C252F"/>
    <w:rsid w:val="003C4853"/>
    <w:rsid w:val="004325C2"/>
    <w:rsid w:val="00433355"/>
    <w:rsid w:val="00441B18"/>
    <w:rsid w:val="00475EB5"/>
    <w:rsid w:val="00497B47"/>
    <w:rsid w:val="004A462E"/>
    <w:rsid w:val="004D0A2D"/>
    <w:rsid w:val="004F26C3"/>
    <w:rsid w:val="005B2866"/>
    <w:rsid w:val="005C4873"/>
    <w:rsid w:val="006615D8"/>
    <w:rsid w:val="006B0816"/>
    <w:rsid w:val="007009DF"/>
    <w:rsid w:val="00794F0C"/>
    <w:rsid w:val="007A1A35"/>
    <w:rsid w:val="007B44E4"/>
    <w:rsid w:val="00804A90"/>
    <w:rsid w:val="00831ADB"/>
    <w:rsid w:val="008544DA"/>
    <w:rsid w:val="00872A0E"/>
    <w:rsid w:val="008B317E"/>
    <w:rsid w:val="008B66AD"/>
    <w:rsid w:val="008E66CF"/>
    <w:rsid w:val="00900E2B"/>
    <w:rsid w:val="00903AAD"/>
    <w:rsid w:val="009160D5"/>
    <w:rsid w:val="009A2988"/>
    <w:rsid w:val="009D4581"/>
    <w:rsid w:val="00A260DB"/>
    <w:rsid w:val="00A53067"/>
    <w:rsid w:val="00A627C7"/>
    <w:rsid w:val="00AB57D5"/>
    <w:rsid w:val="00AB68A3"/>
    <w:rsid w:val="00AC46D5"/>
    <w:rsid w:val="00B14E4C"/>
    <w:rsid w:val="00B15F0B"/>
    <w:rsid w:val="00B22856"/>
    <w:rsid w:val="00B622FB"/>
    <w:rsid w:val="00BA6F6C"/>
    <w:rsid w:val="00BD0144"/>
    <w:rsid w:val="00BE1706"/>
    <w:rsid w:val="00BF10E8"/>
    <w:rsid w:val="00C27456"/>
    <w:rsid w:val="00C83D4D"/>
    <w:rsid w:val="00CA6729"/>
    <w:rsid w:val="00CC1973"/>
    <w:rsid w:val="00D10462"/>
    <w:rsid w:val="00D250D7"/>
    <w:rsid w:val="00D273B0"/>
    <w:rsid w:val="00D41D34"/>
    <w:rsid w:val="00D4390A"/>
    <w:rsid w:val="00DD22BA"/>
    <w:rsid w:val="00DE61AB"/>
    <w:rsid w:val="00E05FC5"/>
    <w:rsid w:val="00E101E5"/>
    <w:rsid w:val="00E31814"/>
    <w:rsid w:val="00E8717B"/>
    <w:rsid w:val="00E876B0"/>
    <w:rsid w:val="00F01FA5"/>
    <w:rsid w:val="00F02FD3"/>
    <w:rsid w:val="00F46A54"/>
    <w:rsid w:val="00FA3E81"/>
    <w:rsid w:val="00FB3BA6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11FB1-9292-4BAB-A616-8EA9A583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4E4"/>
    <w:pPr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8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Corpodetexto">
    <w:name w:val="Body Text"/>
    <w:aliases w:val="Item da conclusão"/>
    <w:basedOn w:val="Normal"/>
    <w:link w:val="CorpodetextoChar"/>
    <w:unhideWhenUsed/>
    <w:rsid w:val="009D4581"/>
    <w:pPr>
      <w:spacing w:after="0"/>
    </w:pPr>
    <w:rPr>
      <w:rFonts w:eastAsia="Times New Roman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9D4581"/>
    <w:rPr>
      <w:rFonts w:eastAsia="Times New Roman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2613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0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0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7</cp:revision>
  <dcterms:created xsi:type="dcterms:W3CDTF">2016-01-21T18:22:00Z</dcterms:created>
  <dcterms:modified xsi:type="dcterms:W3CDTF">2016-03-28T19:48:00Z</dcterms:modified>
</cp:coreProperties>
</file>