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98931" w14:textId="5670E195" w:rsidR="004B5136" w:rsidRPr="004B5136" w:rsidRDefault="004B5136" w:rsidP="004B5136">
      <w:pPr>
        <w:jc w:val="right"/>
        <w:rPr>
          <w:b/>
        </w:rPr>
      </w:pPr>
      <w:r w:rsidRPr="004B5136">
        <w:rPr>
          <w:b/>
        </w:rPr>
        <w:t>Revisado em 25/11/2015</w:t>
      </w:r>
    </w:p>
    <w:p w14:paraId="22438356" w14:textId="18B4FE5A" w:rsidR="00F55A18" w:rsidRPr="006745C4" w:rsidRDefault="00F66967" w:rsidP="00F55A18">
      <w:r>
        <w:t xml:space="preserve">Tema </w:t>
      </w:r>
      <w:r w:rsidR="007929CB" w:rsidRPr="006745C4">
        <w:t xml:space="preserve">12 </w:t>
      </w:r>
      <w:r w:rsidR="0089773A">
        <w:noBreakHyphen/>
      </w:r>
      <w:r w:rsidR="007929CB" w:rsidRPr="006745C4">
        <w:t xml:space="preserve"> </w:t>
      </w:r>
      <w:r w:rsidR="00E76DE5">
        <w:rPr>
          <w:color w:val="000000"/>
          <w:lang w:eastAsia="pt-BR"/>
        </w:rPr>
        <w:t xml:space="preserve">Omissão no dever de prestar contas sem apresentação de comprovantes acerca da boa e regular </w:t>
      </w:r>
      <w:r w:rsidR="00E76DE5" w:rsidRPr="006745C4">
        <w:t xml:space="preserve">aplicação </w:t>
      </w:r>
      <w:r w:rsidR="00E76DE5">
        <w:t xml:space="preserve">dos recursos repassados, mesmo que </w:t>
      </w:r>
      <w:r w:rsidR="0089773A">
        <w:t>extemporânea</w:t>
      </w:r>
      <w:r w:rsidR="004B5136">
        <w:t xml:space="preserve">, implica </w:t>
      </w:r>
      <w:bookmarkStart w:id="0" w:name="_GoBack"/>
      <w:bookmarkEnd w:id="0"/>
      <w:r w:rsidR="004B5136">
        <w:t>condenação em débito</w:t>
      </w:r>
      <w:r w:rsidR="00316B70">
        <w:t>.</w:t>
      </w:r>
    </w:p>
    <w:p w14:paraId="352FD708" w14:textId="741CF9C0" w:rsidR="007929CB" w:rsidRPr="006745C4" w:rsidRDefault="007929CB" w:rsidP="004B5136">
      <w:pPr>
        <w:spacing w:before="360" w:after="360"/>
        <w:rPr>
          <w:rFonts w:eastAsia="Times New Roman"/>
          <w:b/>
          <w:bCs/>
          <w:color w:val="000000"/>
          <w:lang w:eastAsia="pt-BR"/>
        </w:rPr>
      </w:pPr>
      <w:r w:rsidRPr="006745C4">
        <w:rPr>
          <w:rFonts w:eastAsia="Times New Roman"/>
          <w:b/>
          <w:bCs/>
          <w:color w:val="365F91"/>
        </w:rPr>
        <w:t xml:space="preserve">A omissão no dever de prestar contas dos recursos federais recebidos, </w:t>
      </w:r>
      <w:r w:rsidR="00E76DE5">
        <w:rPr>
          <w:rFonts w:eastAsia="Times New Roman"/>
          <w:b/>
          <w:bCs/>
          <w:color w:val="365F91"/>
        </w:rPr>
        <w:t>sem a apresentação de comprovação da boa e regular aplicação dos recursos, mesmo que extemporânea</w:t>
      </w:r>
      <w:r w:rsidR="003918C2">
        <w:rPr>
          <w:rFonts w:eastAsia="Times New Roman"/>
          <w:b/>
          <w:bCs/>
          <w:color w:val="365F91"/>
        </w:rPr>
        <w:t xml:space="preserve">, </w:t>
      </w:r>
      <w:r w:rsidRPr="006745C4">
        <w:rPr>
          <w:rFonts w:eastAsia="Times New Roman"/>
          <w:b/>
          <w:bCs/>
          <w:color w:val="365F91"/>
        </w:rPr>
        <w:t>enseja julgamento pela irregularidade das contas, imputação de débito e concomitante aplicação de multa ao responsável.</w:t>
      </w:r>
    </w:p>
    <w:p w14:paraId="02EC1556" w14:textId="77777777" w:rsidR="00446464" w:rsidRDefault="00446464" w:rsidP="00F55A18">
      <w:pPr>
        <w:pStyle w:val="Corpodetexto"/>
        <w:spacing w:before="120" w:after="120"/>
        <w:ind w:firstLine="1134"/>
      </w:pPr>
      <w:r w:rsidRPr="00490AB9">
        <w:rPr>
          <w:lang w:eastAsia="pt-BR"/>
        </w:rPr>
        <w:t>Regularmente citado, o responsáve</w:t>
      </w:r>
      <w:r>
        <w:rPr>
          <w:lang w:eastAsia="pt-BR"/>
        </w:rPr>
        <w:t>l</w:t>
      </w:r>
      <w:r w:rsidRPr="00490AB9">
        <w:rPr>
          <w:lang w:eastAsia="pt-BR"/>
        </w:rPr>
        <w:t xml:space="preserve"> não apresent</w:t>
      </w:r>
      <w:r>
        <w:rPr>
          <w:lang w:eastAsia="pt-BR"/>
        </w:rPr>
        <w:t>ou</w:t>
      </w:r>
      <w:r w:rsidRPr="00490AB9">
        <w:rPr>
          <w:lang w:eastAsia="pt-BR"/>
        </w:rPr>
        <w:t xml:space="preserve"> alegações de defesa, permanecendo rev</w:t>
      </w:r>
      <w:r>
        <w:rPr>
          <w:lang w:eastAsia="pt-BR"/>
        </w:rPr>
        <w:t>el</w:t>
      </w:r>
      <w:r w:rsidRPr="00490AB9">
        <w:rPr>
          <w:lang w:eastAsia="pt-BR"/>
        </w:rPr>
        <w:t>. Cabe, portanto, dar prosseguimento ao processo, para todos os efeitos, conforme prevê o art. 12, § 3º, da Lei nº 8.443/1992</w:t>
      </w:r>
      <w:r w:rsidR="00CA6CCD">
        <w:rPr>
          <w:lang w:eastAsia="pt-BR"/>
        </w:rPr>
        <w:t xml:space="preserve">, a se considerar, ainda, </w:t>
      </w:r>
      <w:r w:rsidR="003918C2">
        <w:rPr>
          <w:lang w:eastAsia="pt-BR"/>
        </w:rPr>
        <w:t xml:space="preserve">inexistir nos presentes autos, elementos suficientes para elidir a omissão apontada.   </w:t>
      </w:r>
    </w:p>
    <w:p w14:paraId="35FB4727" w14:textId="2F5416BB" w:rsidR="00F55A18" w:rsidRDefault="00291B4C" w:rsidP="00F55A18">
      <w:pPr>
        <w:pStyle w:val="Corpodetexto"/>
        <w:spacing w:before="120" w:after="120"/>
        <w:ind w:firstLine="1134"/>
      </w:pPr>
      <w:r w:rsidRPr="006745C4">
        <w:t>Constatou-se que não</w:t>
      </w:r>
      <w:r>
        <w:t xml:space="preserve"> houve prestação de contas relativa aos recursos federais repassados a</w:t>
      </w:r>
      <w:r w:rsidR="0089773A">
        <w:t>/o</w:t>
      </w:r>
      <w:r>
        <w:t xml:space="preserve"> </w:t>
      </w:r>
      <w:r w:rsidRPr="00291B4C">
        <w:rPr>
          <w:color w:val="FF0000"/>
        </w:rPr>
        <w:t>&lt;&lt;nome da entidade</w:t>
      </w:r>
      <w:r w:rsidR="0089773A">
        <w:rPr>
          <w:color w:val="FF0000"/>
        </w:rPr>
        <w:t>/</w:t>
      </w:r>
      <w:r w:rsidR="007E287D">
        <w:rPr>
          <w:color w:val="FF0000"/>
        </w:rPr>
        <w:t>município</w:t>
      </w:r>
      <w:r w:rsidRPr="00291B4C">
        <w:rPr>
          <w:color w:val="FF0000"/>
        </w:rPr>
        <w:t>&gt;&gt;</w:t>
      </w:r>
      <w:r w:rsidR="0089773A">
        <w:rPr>
          <w:color w:val="FF0000"/>
        </w:rPr>
        <w:t xml:space="preserve"> </w:t>
      </w:r>
      <w:r w:rsidR="0089773A" w:rsidRPr="00E21CFC">
        <w:t xml:space="preserve">por meio do </w:t>
      </w:r>
      <w:r w:rsidR="00E21CFC" w:rsidRPr="00E21CFC">
        <w:t>referido ajuste</w:t>
      </w:r>
      <w:r w:rsidRPr="00E21CFC">
        <w:t xml:space="preserve">, </w:t>
      </w:r>
      <w:r>
        <w:t>sem que se tenha</w:t>
      </w:r>
      <w:r w:rsidR="00CA6CCD">
        <w:t>m</w:t>
      </w:r>
      <w:r w:rsidR="007E287D">
        <w:t xml:space="preserve"> sido</w:t>
      </w:r>
      <w:r>
        <w:t xml:space="preserve"> juntad</w:t>
      </w:r>
      <w:r w:rsidR="00CA6CCD">
        <w:t>as</w:t>
      </w:r>
      <w:r>
        <w:t xml:space="preserve"> aos autos quaisquer justificativas pela omissão no dever de prestar contas.</w:t>
      </w:r>
    </w:p>
    <w:p w14:paraId="03E584E1" w14:textId="251366FF" w:rsidR="00291B4C" w:rsidRDefault="00291B4C" w:rsidP="00291B4C">
      <w:pPr>
        <w:pStyle w:val="Corpodetexto"/>
        <w:spacing w:before="120" w:after="120"/>
        <w:ind w:firstLine="1134"/>
      </w:pPr>
      <w:r>
        <w:t>R</w:t>
      </w:r>
      <w:r w:rsidRPr="00291B4C">
        <w:t>ecai sobre o responsável a obrigação de demonstrar que os recursos federais recebidos foram utilizados na finalidade prevista.</w:t>
      </w:r>
      <w:r>
        <w:t xml:space="preserve"> Ao não </w:t>
      </w:r>
      <w:r w:rsidR="00CA6CCD">
        <w:t xml:space="preserve">cumprir com a obrigação de </w:t>
      </w:r>
      <w:r>
        <w:t>presta</w:t>
      </w:r>
      <w:r w:rsidR="00CA6CCD">
        <w:t>r</w:t>
      </w:r>
      <w:r>
        <w:t xml:space="preserve"> contas, o gestor ignorou dever constitucional contido no parágrafo único do art. 70 da Constituição Federal, bem como deixou de comprovar a correta aplicação dos recursos, o que configura a existência de débito e enseja o julgamento pela irregularidade das contas e aplicação de multa.</w:t>
      </w:r>
    </w:p>
    <w:p w14:paraId="172770D3" w14:textId="5BA578C3" w:rsidR="002D4F06" w:rsidRDefault="002D4F06" w:rsidP="00F55A18">
      <w:pPr>
        <w:pStyle w:val="Corpodetexto"/>
        <w:spacing w:before="120"/>
        <w:ind w:firstLine="1134"/>
      </w:pPr>
      <w:r>
        <w:t xml:space="preserve">Nessa hipótese, a configuração da irregularidade fundamenta-se na omissão no dever de prestar contas </w:t>
      </w:r>
      <w:r w:rsidRPr="00396680">
        <w:t>(art. 16, inciso III, alínea “a”, da Lei 8.443/1992)</w:t>
      </w:r>
      <w:r>
        <w:t>, c</w:t>
      </w:r>
      <w:r w:rsidR="00CA6CCD">
        <w:t xml:space="preserve">abendo </w:t>
      </w:r>
      <w:r>
        <w:t>imputação de débito,</w:t>
      </w:r>
      <w:r w:rsidRPr="00396680">
        <w:t xml:space="preserve"> e a conduta enseja, ainda, aplicação da multa prevista no art.</w:t>
      </w:r>
      <w:r w:rsidR="007E287D">
        <w:t>57 da mesma Lei</w:t>
      </w:r>
      <w:r>
        <w:t>.</w:t>
      </w:r>
    </w:p>
    <w:p w14:paraId="5F201442" w14:textId="069EA61F" w:rsidR="0056155B" w:rsidRDefault="002D4F06" w:rsidP="00F55A18">
      <w:pPr>
        <w:pStyle w:val="Corpodetexto"/>
        <w:spacing w:before="120"/>
        <w:ind w:firstLine="1134"/>
      </w:pPr>
      <w:r>
        <w:t xml:space="preserve">Esse entendimento está amparado nos </w:t>
      </w:r>
      <w:r w:rsidR="00F55A18">
        <w:t>Acórdãos</w:t>
      </w:r>
      <w:r w:rsidR="002D2125">
        <w:t xml:space="preserve"> </w:t>
      </w:r>
      <w:r w:rsidR="000B2B7D">
        <w:t>6</w:t>
      </w:r>
      <w:r w:rsidR="00CB4B33">
        <w:t>.9</w:t>
      </w:r>
      <w:r w:rsidR="000B2B7D">
        <w:t>21</w:t>
      </w:r>
      <w:r w:rsidR="00CB4B33" w:rsidRPr="001C744B">
        <w:t>/</w:t>
      </w:r>
      <w:r w:rsidR="00CB4B33">
        <w:t>201</w:t>
      </w:r>
      <w:r w:rsidR="000B2B7D">
        <w:t>5</w:t>
      </w:r>
      <w:r w:rsidR="00CB4B33">
        <w:t>-TCU-</w:t>
      </w:r>
      <w:r w:rsidR="00BC5C21">
        <w:t>1</w:t>
      </w:r>
      <w:r w:rsidR="00CB4B33">
        <w:rPr>
          <w:u w:val="single"/>
          <w:vertAlign w:val="superscript"/>
        </w:rPr>
        <w:t>a</w:t>
      </w:r>
      <w:r w:rsidR="00CB4B33">
        <w:t xml:space="preserve"> Câmara,</w:t>
      </w:r>
      <w:r w:rsidR="0089773A">
        <w:t xml:space="preserve"> 7.134/2015-TCU-1ª Câmara</w:t>
      </w:r>
      <w:r w:rsidR="000B2B7D">
        <w:t>, 10.624</w:t>
      </w:r>
      <w:r w:rsidR="00CB4B33" w:rsidRPr="001C744B">
        <w:t>/</w:t>
      </w:r>
      <w:r w:rsidR="00CB4B33">
        <w:t>201</w:t>
      </w:r>
      <w:r w:rsidR="000B2B7D">
        <w:t>5</w:t>
      </w:r>
      <w:r w:rsidR="00CB4B33">
        <w:t>-TCU-</w:t>
      </w:r>
      <w:r w:rsidR="000B2B7D">
        <w:t>2</w:t>
      </w:r>
      <w:r w:rsidR="00CB4B33">
        <w:rPr>
          <w:u w:val="single"/>
          <w:vertAlign w:val="superscript"/>
        </w:rPr>
        <w:t>a</w:t>
      </w:r>
      <w:r w:rsidR="00CB4B33">
        <w:t xml:space="preserve"> Câmara, </w:t>
      </w:r>
      <w:r w:rsidR="000B2B7D">
        <w:t>10.6</w:t>
      </w:r>
      <w:r w:rsidR="000873E3">
        <w:t>6</w:t>
      </w:r>
      <w:r w:rsidR="000B2B7D">
        <w:t>8/2015-TCU-2ª Câmara e 10.671</w:t>
      </w:r>
      <w:r w:rsidR="00CB4B33" w:rsidRPr="00CB4B33">
        <w:t>/20</w:t>
      </w:r>
      <w:r w:rsidR="000B2B7D">
        <w:t>15</w:t>
      </w:r>
      <w:r w:rsidR="00CB4B33">
        <w:t>-TCU-</w:t>
      </w:r>
      <w:r w:rsidR="00CB4B33" w:rsidRPr="00CB4B33">
        <w:t>2</w:t>
      </w:r>
      <w:r w:rsidR="00CB4B33" w:rsidRPr="00CB4B33">
        <w:rPr>
          <w:u w:val="single"/>
          <w:vertAlign w:val="superscript"/>
        </w:rPr>
        <w:t>a</w:t>
      </w:r>
      <w:r w:rsidR="00CB4B33" w:rsidRPr="00CB4B33">
        <w:t xml:space="preserve"> Câmara</w:t>
      </w:r>
      <w:r w:rsidR="00F55A18" w:rsidRPr="00CB4B33">
        <w:t>.</w:t>
      </w:r>
    </w:p>
    <w:p w14:paraId="6CB61E5C" w14:textId="4D54B3CC" w:rsidR="0056155B" w:rsidRDefault="0056155B" w:rsidP="0056155B">
      <w:pPr>
        <w:pStyle w:val="Corpodetexto"/>
        <w:spacing w:before="120"/>
        <w:ind w:firstLine="1134"/>
      </w:pPr>
      <w:r>
        <w:t>Impõ</w:t>
      </w:r>
      <w:r w:rsidRPr="0056155B">
        <w:t xml:space="preserve">e-se, </w:t>
      </w:r>
      <w:r>
        <w:t>assim</w:t>
      </w:r>
      <w:r w:rsidRPr="0056155B">
        <w:t>, o julgamento pela irregularidade das contas</w:t>
      </w:r>
      <w:r w:rsidR="00C773C3">
        <w:t xml:space="preserve"> do Sr. </w:t>
      </w:r>
      <w:r w:rsidR="00C773C3" w:rsidRPr="0089773A">
        <w:rPr>
          <w:color w:val="FF0000"/>
        </w:rPr>
        <w:t>&lt;&lt;nome do responsável&gt;&gt;</w:t>
      </w:r>
      <w:r w:rsidRPr="0056155B">
        <w:t xml:space="preserve">, com imputação do débito correspondente aos valores totais destinados </w:t>
      </w:r>
      <w:r w:rsidR="007E287D">
        <w:rPr>
          <w:color w:val="FF0000"/>
        </w:rPr>
        <w:t>&lt;&lt;à</w:t>
      </w:r>
      <w:r w:rsidR="007E287D" w:rsidRPr="007E287D">
        <w:rPr>
          <w:color w:val="FF0000"/>
        </w:rPr>
        <w:t xml:space="preserve"> entidade</w:t>
      </w:r>
      <w:r w:rsidR="00FB0A19">
        <w:rPr>
          <w:color w:val="FF0000"/>
        </w:rPr>
        <w:t xml:space="preserve"> ou ao município</w:t>
      </w:r>
      <w:r w:rsidR="007E287D">
        <w:rPr>
          <w:color w:val="FF0000"/>
        </w:rPr>
        <w:t>&gt;&gt;</w:t>
      </w:r>
      <w:r w:rsidRPr="0056155B">
        <w:t xml:space="preserve">, </w:t>
      </w:r>
      <w:r w:rsidR="00E21CFC">
        <w:t xml:space="preserve">por meio do referido ajuste, </w:t>
      </w:r>
      <w:r w:rsidRPr="0056155B">
        <w:t>assim como a imputação d</w:t>
      </w:r>
      <w:r w:rsidR="007E287D">
        <w:t>a</w:t>
      </w:r>
      <w:r w:rsidRPr="0056155B">
        <w:t xml:space="preserve"> multa</w:t>
      </w:r>
      <w:r>
        <w:t xml:space="preserve"> </w:t>
      </w:r>
      <w:r w:rsidR="00E21CFC">
        <w:t>prevista n</w:t>
      </w:r>
      <w:r>
        <w:t>o art. 57 da Lei 8.443/1992.</w:t>
      </w:r>
    </w:p>
    <w:p w14:paraId="5AFFC9CE" w14:textId="6D480F6B" w:rsidR="00E76DE5" w:rsidRPr="001361EC" w:rsidRDefault="00E76DE5" w:rsidP="004B5136">
      <w:pPr>
        <w:pStyle w:val="Corpodetexto"/>
        <w:spacing w:before="360" w:after="120"/>
        <w:rPr>
          <w:color w:val="365F91" w:themeColor="accent1" w:themeShade="BF"/>
        </w:rPr>
      </w:pPr>
      <w:r w:rsidRPr="001361EC">
        <w:rPr>
          <w:color w:val="365F91" w:themeColor="accent1" w:themeShade="BF"/>
          <w:lang w:eastAsia="pt-BR"/>
        </w:rPr>
        <w:t xml:space="preserve">Área: </w:t>
      </w:r>
      <w:r w:rsidR="00342CC5" w:rsidRPr="001361EC">
        <w:rPr>
          <w:color w:val="365F91" w:themeColor="accent1" w:themeShade="BF"/>
          <w:lang w:eastAsia="pt-BR"/>
        </w:rPr>
        <w:t>Convênio e Congênere</w:t>
      </w:r>
      <w:r w:rsidRPr="001361EC">
        <w:rPr>
          <w:color w:val="365F91" w:themeColor="accent1" w:themeShade="BF"/>
          <w:lang w:eastAsia="pt-BR"/>
        </w:rPr>
        <w:t xml:space="preserve">; Tema: </w:t>
      </w:r>
      <w:r w:rsidR="0006551E" w:rsidRPr="001361EC">
        <w:rPr>
          <w:color w:val="365F91" w:themeColor="accent1" w:themeShade="BF"/>
          <w:lang w:eastAsia="pt-BR"/>
        </w:rPr>
        <w:t>Prestação e tomada de contas</w:t>
      </w:r>
      <w:r w:rsidRPr="001361EC">
        <w:rPr>
          <w:color w:val="365F91" w:themeColor="accent1" w:themeShade="BF"/>
          <w:lang w:eastAsia="pt-BR"/>
        </w:rPr>
        <w:t xml:space="preserve">; </w:t>
      </w:r>
      <w:r w:rsidR="00342CC5" w:rsidRPr="001361EC">
        <w:rPr>
          <w:color w:val="365F91" w:themeColor="accent1" w:themeShade="BF"/>
          <w:lang w:eastAsia="pt-BR"/>
        </w:rPr>
        <w:t xml:space="preserve">Subtema: </w:t>
      </w:r>
      <w:r w:rsidR="0006551E" w:rsidRPr="001361EC">
        <w:rPr>
          <w:color w:val="365F91" w:themeColor="accent1" w:themeShade="BF"/>
          <w:lang w:eastAsia="pt-BR"/>
        </w:rPr>
        <w:t>omissão e intempestividade</w:t>
      </w:r>
      <w:r w:rsidR="004B5136">
        <w:rPr>
          <w:color w:val="365F91" w:themeColor="accent1" w:themeShade="BF"/>
          <w:lang w:eastAsia="pt-BR"/>
        </w:rPr>
        <w:t>.</w:t>
      </w:r>
    </w:p>
    <w:sectPr w:rsidR="00E76DE5" w:rsidRPr="001361EC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18"/>
    <w:rsid w:val="0006551E"/>
    <w:rsid w:val="000873E3"/>
    <w:rsid w:val="000B2AFA"/>
    <w:rsid w:val="000B2B7D"/>
    <w:rsid w:val="001361EC"/>
    <w:rsid w:val="001A7544"/>
    <w:rsid w:val="001E4147"/>
    <w:rsid w:val="00291B4C"/>
    <w:rsid w:val="002A3B3F"/>
    <w:rsid w:val="002D2125"/>
    <w:rsid w:val="002D4F06"/>
    <w:rsid w:val="002F1EC6"/>
    <w:rsid w:val="00316B70"/>
    <w:rsid w:val="00342CC5"/>
    <w:rsid w:val="003918C2"/>
    <w:rsid w:val="003C3CA3"/>
    <w:rsid w:val="00446464"/>
    <w:rsid w:val="004B5136"/>
    <w:rsid w:val="004E7721"/>
    <w:rsid w:val="0056155B"/>
    <w:rsid w:val="006745C4"/>
    <w:rsid w:val="006D5791"/>
    <w:rsid w:val="00757900"/>
    <w:rsid w:val="007929CB"/>
    <w:rsid w:val="007A1A35"/>
    <w:rsid w:val="007C485F"/>
    <w:rsid w:val="007C7D2C"/>
    <w:rsid w:val="007D54DF"/>
    <w:rsid w:val="007E287D"/>
    <w:rsid w:val="00881CC5"/>
    <w:rsid w:val="0089773A"/>
    <w:rsid w:val="00900E2B"/>
    <w:rsid w:val="00940988"/>
    <w:rsid w:val="00BC5C21"/>
    <w:rsid w:val="00BE1706"/>
    <w:rsid w:val="00BF10E8"/>
    <w:rsid w:val="00C4530C"/>
    <w:rsid w:val="00C773C3"/>
    <w:rsid w:val="00C83597"/>
    <w:rsid w:val="00CA162F"/>
    <w:rsid w:val="00CA6729"/>
    <w:rsid w:val="00CA6CCD"/>
    <w:rsid w:val="00CB4B33"/>
    <w:rsid w:val="00D829F2"/>
    <w:rsid w:val="00E21CFC"/>
    <w:rsid w:val="00E76DE5"/>
    <w:rsid w:val="00F0691C"/>
    <w:rsid w:val="00F55A18"/>
    <w:rsid w:val="00F66967"/>
    <w:rsid w:val="00FB0A19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9BFD"/>
  <w15:docId w15:val="{DB9D5470-8C9A-4A04-96ED-C694B71E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18"/>
    <w:pPr>
      <w:spacing w:after="120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Item da conclusão"/>
    <w:basedOn w:val="Normal"/>
    <w:link w:val="CorpodetextoChar"/>
    <w:unhideWhenUsed/>
    <w:rsid w:val="00F55A18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link w:val="Corpodetexto"/>
    <w:rsid w:val="00F55A18"/>
    <w:rPr>
      <w:rFonts w:eastAsia="Times New Roman"/>
    </w:rPr>
  </w:style>
  <w:style w:type="character" w:styleId="Hyperlink">
    <w:name w:val="Hyperlink"/>
    <w:uiPriority w:val="99"/>
    <w:unhideWhenUsed/>
    <w:rsid w:val="002D2125"/>
    <w:rPr>
      <w:color w:val="00000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7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79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A16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16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162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6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6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B9D8-542E-4A44-887D-C5CD66FC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9</cp:revision>
  <dcterms:created xsi:type="dcterms:W3CDTF">2015-11-25T15:28:00Z</dcterms:created>
  <dcterms:modified xsi:type="dcterms:W3CDTF">2016-03-28T19:52:00Z</dcterms:modified>
</cp:coreProperties>
</file>