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196C" w14:textId="2573A77C" w:rsidR="00FF384B" w:rsidRPr="00FF384B" w:rsidRDefault="00FF384B" w:rsidP="00FF384B">
      <w:pPr>
        <w:jc w:val="right"/>
        <w:rPr>
          <w:b/>
        </w:rPr>
      </w:pPr>
      <w:r w:rsidRPr="00FF384B">
        <w:rPr>
          <w:b/>
        </w:rPr>
        <w:t>Revisado em 1</w:t>
      </w:r>
      <w:r w:rsidR="00581676">
        <w:rPr>
          <w:b/>
        </w:rPr>
        <w:t>8</w:t>
      </w:r>
      <w:r w:rsidRPr="00FF384B">
        <w:rPr>
          <w:b/>
        </w:rPr>
        <w:t>/3/2016</w:t>
      </w:r>
    </w:p>
    <w:p w14:paraId="4D09C6A9" w14:textId="09ACD676" w:rsidR="00BB58D3" w:rsidRPr="00FF384B" w:rsidRDefault="00C6346E" w:rsidP="00FF384B">
      <w:r>
        <w:t xml:space="preserve">Tema </w:t>
      </w:r>
      <w:r w:rsidR="00915D2F">
        <w:t>1</w:t>
      </w:r>
      <w:r w:rsidR="00121B55">
        <w:t>3</w:t>
      </w:r>
      <w:bookmarkStart w:id="0" w:name="_GoBack"/>
      <w:bookmarkEnd w:id="0"/>
      <w:r w:rsidR="0085729F" w:rsidRPr="00EC27AE">
        <w:t xml:space="preserve"> </w:t>
      </w:r>
      <w:r w:rsidR="001C1033">
        <w:noBreakHyphen/>
      </w:r>
      <w:r w:rsidR="00043A4D">
        <w:t xml:space="preserve"> </w:t>
      </w:r>
      <w:r w:rsidR="00AA608D">
        <w:t xml:space="preserve">Efeitos do decurso do prazo </w:t>
      </w:r>
      <w:r w:rsidR="00E212C3">
        <w:t>de dez anos da ocorrência das irregularidades para a notificação</w:t>
      </w:r>
      <w:r w:rsidR="00AA608D">
        <w:t xml:space="preserve"> </w:t>
      </w:r>
      <w:r w:rsidR="0016191E">
        <w:t>d</w:t>
      </w:r>
      <w:r w:rsidR="008C20EA" w:rsidRPr="00EC27AE">
        <w:t>o responsável</w:t>
      </w:r>
      <w:r w:rsidR="00043A4D">
        <w:t>: possibilidade de julgamento de mérito.</w:t>
      </w:r>
    </w:p>
    <w:p w14:paraId="61E2EC75" w14:textId="77777777" w:rsidR="00C6338F" w:rsidRDefault="00991DE1" w:rsidP="00043A4D">
      <w:pPr>
        <w:suppressAutoHyphens w:val="0"/>
        <w:autoSpaceDE w:val="0"/>
        <w:autoSpaceDN w:val="0"/>
        <w:adjustRightInd w:val="0"/>
        <w:spacing w:before="360" w:after="360"/>
        <w:rPr>
          <w:rFonts w:eastAsia="Times New Roman"/>
          <w:b/>
          <w:bCs/>
          <w:color w:val="365F91" w:themeColor="accent1" w:themeShade="BF"/>
          <w:lang w:eastAsia="pt-BR"/>
        </w:rPr>
      </w:pPr>
      <w:r>
        <w:rPr>
          <w:rFonts w:eastAsia="Times New Roman"/>
          <w:b/>
          <w:bCs/>
          <w:color w:val="365F92"/>
          <w:lang w:eastAsia="pt-BR"/>
        </w:rPr>
        <w:t xml:space="preserve">O arquivamento da TCE em razão do transcurso de dez anos entre a notificação do responsável e o fato gerador </w:t>
      </w:r>
      <w:r w:rsidR="00043A4D" w:rsidRPr="00043A4D">
        <w:rPr>
          <w:rFonts w:eastAsia="Times New Roman"/>
          <w:b/>
          <w:bCs/>
          <w:color w:val="365F92"/>
          <w:lang w:eastAsia="pt-BR"/>
        </w:rPr>
        <w:t>não possui aplica</w:t>
      </w:r>
      <w:r>
        <w:rPr>
          <w:rFonts w:eastAsia="Times New Roman"/>
          <w:b/>
          <w:bCs/>
          <w:color w:val="365F92"/>
          <w:lang w:eastAsia="pt-BR"/>
        </w:rPr>
        <w:t>ção obrigatória no âmbito do TCU</w:t>
      </w:r>
      <w:r w:rsidR="00C6338F">
        <w:rPr>
          <w:rFonts w:eastAsia="Times New Roman"/>
          <w:b/>
          <w:bCs/>
          <w:color w:val="365F92"/>
          <w:lang w:eastAsia="pt-BR"/>
        </w:rPr>
        <w:t xml:space="preserve">. </w:t>
      </w:r>
      <w:r w:rsidR="00C6338F" w:rsidRPr="00C6338F">
        <w:rPr>
          <w:rFonts w:eastAsia="Times New Roman"/>
          <w:b/>
          <w:bCs/>
          <w:color w:val="365F91" w:themeColor="accent1" w:themeShade="BF"/>
          <w:lang w:eastAsia="pt-BR"/>
        </w:rPr>
        <w:t xml:space="preserve">É </w:t>
      </w:r>
      <w:r w:rsidR="00C6338F" w:rsidRPr="00C6338F">
        <w:rPr>
          <w:b/>
          <w:color w:val="365F91" w:themeColor="accent1" w:themeShade="BF"/>
        </w:rPr>
        <w:t>preciso que, além disso, haja fundadas razões para supor que o direito à defesa tenha sido prejudicado</w:t>
      </w:r>
      <w:r w:rsidR="00C6338F">
        <w:rPr>
          <w:rFonts w:eastAsia="Times New Roman"/>
          <w:b/>
          <w:bCs/>
          <w:color w:val="365F91" w:themeColor="accent1" w:themeShade="BF"/>
          <w:lang w:eastAsia="pt-BR"/>
        </w:rPr>
        <w:t>.</w:t>
      </w:r>
    </w:p>
    <w:p w14:paraId="11129DBE" w14:textId="710DF102" w:rsidR="002C72BD" w:rsidRDefault="0015170F" w:rsidP="00043A4D">
      <w:pPr>
        <w:pStyle w:val="Corpodetexto"/>
        <w:spacing w:before="120"/>
        <w:ind w:firstLine="1134"/>
        <w:rPr>
          <w:color w:val="000000"/>
          <w:sz w:val="24"/>
          <w:szCs w:val="24"/>
        </w:rPr>
      </w:pPr>
      <w:r w:rsidRPr="0015170F">
        <w:rPr>
          <w:sz w:val="24"/>
          <w:szCs w:val="24"/>
        </w:rPr>
        <w:t xml:space="preserve">Conforme se extrai dos autos, </w:t>
      </w:r>
      <w:r w:rsidR="003C2D79">
        <w:rPr>
          <w:sz w:val="24"/>
          <w:szCs w:val="24"/>
        </w:rPr>
        <w:t xml:space="preserve">o montante de R$ </w:t>
      </w:r>
      <w:proofErr w:type="spellStart"/>
      <w:r w:rsidR="003C2D79" w:rsidRPr="00360D52">
        <w:rPr>
          <w:color w:val="FF0000"/>
          <w:sz w:val="24"/>
          <w:szCs w:val="24"/>
        </w:rPr>
        <w:t>xxx</w:t>
      </w:r>
      <w:proofErr w:type="spellEnd"/>
      <w:r w:rsidR="003C2D79" w:rsidRPr="00360D52">
        <w:rPr>
          <w:color w:val="FF0000"/>
          <w:sz w:val="24"/>
          <w:szCs w:val="24"/>
        </w:rPr>
        <w:t xml:space="preserve"> </w:t>
      </w:r>
      <w:r w:rsidR="003C2D79" w:rsidRPr="003C2D79">
        <w:rPr>
          <w:color w:val="FF0000"/>
          <w:sz w:val="24"/>
          <w:szCs w:val="24"/>
        </w:rPr>
        <w:t>&lt;&lt;valor repassado&gt;&gt;</w:t>
      </w:r>
      <w:r w:rsidR="003C2D79">
        <w:rPr>
          <w:sz w:val="24"/>
          <w:szCs w:val="24"/>
        </w:rPr>
        <w:t xml:space="preserve"> </w:t>
      </w:r>
      <w:r w:rsidR="003C2D79" w:rsidRPr="003C2D79">
        <w:rPr>
          <w:sz w:val="24"/>
          <w:szCs w:val="24"/>
        </w:rPr>
        <w:t>fo</w:t>
      </w:r>
      <w:r w:rsidR="00F4153F">
        <w:rPr>
          <w:sz w:val="24"/>
          <w:szCs w:val="24"/>
        </w:rPr>
        <w:t>i</w:t>
      </w:r>
      <w:r w:rsidR="003C2D79" w:rsidRPr="003C2D79">
        <w:rPr>
          <w:sz w:val="24"/>
          <w:szCs w:val="24"/>
        </w:rPr>
        <w:t xml:space="preserve"> repassado </w:t>
      </w:r>
      <w:r w:rsidR="00851A5C">
        <w:rPr>
          <w:sz w:val="24"/>
          <w:szCs w:val="24"/>
        </w:rPr>
        <w:t>ao</w:t>
      </w:r>
      <w:r w:rsidR="003C2D79" w:rsidRPr="003C2D79">
        <w:rPr>
          <w:sz w:val="24"/>
          <w:szCs w:val="24"/>
        </w:rPr>
        <w:t xml:space="preserve"> </w:t>
      </w:r>
      <w:r w:rsidR="003A1CBA">
        <w:rPr>
          <w:sz w:val="24"/>
          <w:szCs w:val="24"/>
        </w:rPr>
        <w:t>convenente</w:t>
      </w:r>
      <w:r w:rsidR="003C2D79" w:rsidRPr="003C2D79">
        <w:rPr>
          <w:sz w:val="24"/>
          <w:szCs w:val="24"/>
        </w:rPr>
        <w:t xml:space="preserve"> em </w:t>
      </w:r>
      <w:r w:rsidR="003C2D79" w:rsidRPr="003C2D79">
        <w:rPr>
          <w:color w:val="FF0000"/>
          <w:sz w:val="24"/>
          <w:szCs w:val="24"/>
        </w:rPr>
        <w:t>&lt;&lt;data do repasse&gt;&gt;</w:t>
      </w:r>
      <w:r w:rsidR="002C72BD">
        <w:rPr>
          <w:sz w:val="24"/>
          <w:szCs w:val="24"/>
        </w:rPr>
        <w:t>. No entanto</w:t>
      </w:r>
      <w:r w:rsidR="002C72BD" w:rsidRPr="008729E8">
        <w:rPr>
          <w:sz w:val="24"/>
          <w:szCs w:val="24"/>
        </w:rPr>
        <w:t xml:space="preserve">, </w:t>
      </w:r>
      <w:r w:rsidR="003C2D79" w:rsidRPr="008729E8">
        <w:rPr>
          <w:sz w:val="24"/>
          <w:szCs w:val="24"/>
        </w:rPr>
        <w:t xml:space="preserve">somente em </w:t>
      </w:r>
      <w:r w:rsidR="003C2D79" w:rsidRPr="008729E8">
        <w:rPr>
          <w:color w:val="FF0000"/>
          <w:sz w:val="24"/>
          <w:szCs w:val="24"/>
        </w:rPr>
        <w:t>&lt;&lt;data d</w:t>
      </w:r>
      <w:r w:rsidR="00387CE2">
        <w:rPr>
          <w:color w:val="FF0000"/>
          <w:sz w:val="24"/>
          <w:szCs w:val="24"/>
        </w:rPr>
        <w:t>a</w:t>
      </w:r>
      <w:r w:rsidR="003C2D79" w:rsidRPr="008729E8">
        <w:rPr>
          <w:color w:val="FF0000"/>
          <w:sz w:val="24"/>
          <w:szCs w:val="24"/>
        </w:rPr>
        <w:t xml:space="preserve"> </w:t>
      </w:r>
      <w:r w:rsidR="00752BE1">
        <w:rPr>
          <w:color w:val="FF0000"/>
          <w:sz w:val="24"/>
          <w:szCs w:val="24"/>
        </w:rPr>
        <w:t>notificação do responsável</w:t>
      </w:r>
      <w:r w:rsidR="003C2D79" w:rsidRPr="008729E8">
        <w:rPr>
          <w:color w:val="FF0000"/>
          <w:sz w:val="24"/>
          <w:szCs w:val="24"/>
        </w:rPr>
        <w:t>&gt;&gt;</w:t>
      </w:r>
      <w:r w:rsidR="003C2D79" w:rsidRPr="008729E8">
        <w:rPr>
          <w:sz w:val="24"/>
          <w:szCs w:val="24"/>
        </w:rPr>
        <w:t xml:space="preserve">, passados mais de </w:t>
      </w:r>
      <w:proofErr w:type="spellStart"/>
      <w:r w:rsidR="003C2D79" w:rsidRPr="008729E8">
        <w:rPr>
          <w:color w:val="FF0000"/>
          <w:sz w:val="24"/>
          <w:szCs w:val="24"/>
        </w:rPr>
        <w:t>xxx</w:t>
      </w:r>
      <w:proofErr w:type="spellEnd"/>
      <w:r w:rsidR="003C2D79" w:rsidRPr="008729E8">
        <w:rPr>
          <w:sz w:val="24"/>
          <w:szCs w:val="24"/>
        </w:rPr>
        <w:t xml:space="preserve"> anos </w:t>
      </w:r>
      <w:r w:rsidR="00752BE1">
        <w:rPr>
          <w:sz w:val="24"/>
          <w:szCs w:val="24"/>
        </w:rPr>
        <w:t>da ocorrência do dano</w:t>
      </w:r>
      <w:r w:rsidR="003C2D79" w:rsidRPr="008729E8">
        <w:rPr>
          <w:sz w:val="24"/>
          <w:szCs w:val="24"/>
        </w:rPr>
        <w:t xml:space="preserve">, foi </w:t>
      </w:r>
      <w:r w:rsidR="00752BE1">
        <w:rPr>
          <w:sz w:val="24"/>
          <w:szCs w:val="24"/>
        </w:rPr>
        <w:t xml:space="preserve">efetuada a notificação do responsável pelo(a) </w:t>
      </w:r>
      <w:r w:rsidR="008F7B15" w:rsidRPr="008729E8">
        <w:rPr>
          <w:color w:val="FF0000"/>
          <w:sz w:val="24"/>
          <w:szCs w:val="24"/>
        </w:rPr>
        <w:t>&lt;&lt;</w:t>
      </w:r>
      <w:r w:rsidR="00387CE2">
        <w:rPr>
          <w:color w:val="FF0000"/>
          <w:sz w:val="24"/>
          <w:szCs w:val="24"/>
        </w:rPr>
        <w:t>indicar o órgão</w:t>
      </w:r>
      <w:r w:rsidR="00752BE1">
        <w:rPr>
          <w:color w:val="FF0000"/>
          <w:sz w:val="24"/>
          <w:szCs w:val="24"/>
        </w:rPr>
        <w:t xml:space="preserve"> que realizou a notificação do responsável</w:t>
      </w:r>
      <w:r w:rsidR="008F7B15" w:rsidRPr="008729E8">
        <w:rPr>
          <w:color w:val="FF0000"/>
          <w:sz w:val="24"/>
          <w:szCs w:val="24"/>
        </w:rPr>
        <w:t xml:space="preserve"> conforme o</w:t>
      </w:r>
      <w:r w:rsidR="00752BE1">
        <w:rPr>
          <w:color w:val="FF0000"/>
          <w:sz w:val="24"/>
          <w:szCs w:val="24"/>
        </w:rPr>
        <w:t>s documentos</w:t>
      </w:r>
      <w:r w:rsidR="008F7B15" w:rsidRPr="008729E8">
        <w:rPr>
          <w:color w:val="FF0000"/>
          <w:sz w:val="24"/>
          <w:szCs w:val="24"/>
        </w:rPr>
        <w:t xml:space="preserve"> </w:t>
      </w:r>
      <w:r w:rsidR="00752BE1">
        <w:rPr>
          <w:color w:val="FF0000"/>
          <w:sz w:val="24"/>
          <w:szCs w:val="24"/>
        </w:rPr>
        <w:t>acostados ao processo</w:t>
      </w:r>
      <w:r w:rsidR="008729E8" w:rsidRPr="008729E8">
        <w:rPr>
          <w:color w:val="FF0000"/>
          <w:sz w:val="24"/>
          <w:szCs w:val="24"/>
        </w:rPr>
        <w:t xml:space="preserve"> </w:t>
      </w:r>
      <w:r w:rsidR="008729E8" w:rsidRPr="008729E8">
        <w:rPr>
          <w:sz w:val="24"/>
          <w:szCs w:val="24"/>
        </w:rPr>
        <w:t>(</w:t>
      </w:r>
      <w:r w:rsidR="00915D2F">
        <w:rPr>
          <w:sz w:val="24"/>
          <w:szCs w:val="24"/>
        </w:rPr>
        <w:t xml:space="preserve">peça </w:t>
      </w:r>
      <w:r w:rsidR="008729E8" w:rsidRPr="008729E8">
        <w:rPr>
          <w:color w:val="FF0000"/>
          <w:sz w:val="24"/>
          <w:szCs w:val="24"/>
        </w:rPr>
        <w:t>&lt;&lt;</w:t>
      </w:r>
      <w:proofErr w:type="spellStart"/>
      <w:r w:rsidR="00387CE2" w:rsidRPr="00E62830">
        <w:rPr>
          <w:color w:val="FF0000"/>
          <w:sz w:val="24"/>
          <w:szCs w:val="24"/>
        </w:rPr>
        <w:t>xx</w:t>
      </w:r>
      <w:proofErr w:type="spellEnd"/>
      <w:r w:rsidR="00387CE2" w:rsidRPr="00E62830">
        <w:rPr>
          <w:color w:val="FF0000"/>
          <w:sz w:val="24"/>
          <w:szCs w:val="24"/>
        </w:rPr>
        <w:t>&gt;&gt;</w:t>
      </w:r>
      <w:r w:rsidR="00387CE2" w:rsidRPr="00E62830">
        <w:rPr>
          <w:sz w:val="24"/>
          <w:szCs w:val="24"/>
        </w:rPr>
        <w:t xml:space="preserve">, p. </w:t>
      </w:r>
      <w:r w:rsidR="00387CE2" w:rsidRPr="00E62830">
        <w:rPr>
          <w:color w:val="FF0000"/>
          <w:sz w:val="24"/>
          <w:szCs w:val="24"/>
        </w:rPr>
        <w:t>&lt;&lt;</w:t>
      </w:r>
      <w:proofErr w:type="spellStart"/>
      <w:r w:rsidR="00387CE2" w:rsidRPr="00E62830">
        <w:rPr>
          <w:color w:val="FF0000"/>
          <w:sz w:val="24"/>
          <w:szCs w:val="24"/>
        </w:rPr>
        <w:t>xx-xx</w:t>
      </w:r>
      <w:proofErr w:type="spellEnd"/>
      <w:r w:rsidR="00387CE2" w:rsidRPr="00E62830">
        <w:rPr>
          <w:color w:val="FF0000"/>
          <w:sz w:val="24"/>
          <w:szCs w:val="24"/>
        </w:rPr>
        <w:t>&gt;&gt;</w:t>
      </w:r>
      <w:r w:rsidR="008729E8" w:rsidRPr="008729E8">
        <w:rPr>
          <w:color w:val="FF0000"/>
          <w:sz w:val="24"/>
          <w:szCs w:val="24"/>
        </w:rPr>
        <w:t>&gt;&gt;</w:t>
      </w:r>
      <w:r w:rsidR="008729E8" w:rsidRPr="008729E8">
        <w:rPr>
          <w:sz w:val="24"/>
          <w:szCs w:val="24"/>
        </w:rPr>
        <w:t>)</w:t>
      </w:r>
      <w:r w:rsidR="008729E8" w:rsidRPr="008729E8">
        <w:rPr>
          <w:color w:val="000000"/>
          <w:sz w:val="24"/>
          <w:szCs w:val="24"/>
        </w:rPr>
        <w:t>.</w:t>
      </w:r>
    </w:p>
    <w:p w14:paraId="5F1D55EB" w14:textId="30C4C758" w:rsidR="003C2D79" w:rsidRDefault="005E5BAA" w:rsidP="003C2D7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Entretanto, o</w:t>
      </w:r>
      <w:r w:rsidR="00DF3484">
        <w:rPr>
          <w:sz w:val="24"/>
          <w:szCs w:val="24"/>
        </w:rPr>
        <w:t xml:space="preserve"> transcurso do lapso de dez anos para dispensa de instauração da tomada de contas especial</w:t>
      </w:r>
      <w:r w:rsidR="00DF3484" w:rsidRPr="00406748">
        <w:rPr>
          <w:sz w:val="24"/>
          <w:szCs w:val="24"/>
        </w:rPr>
        <w:t xml:space="preserve">, nos termos do </w:t>
      </w:r>
      <w:r w:rsidR="00406748" w:rsidRPr="00387CE2">
        <w:rPr>
          <w:color w:val="FF0000"/>
          <w:sz w:val="24"/>
          <w:szCs w:val="24"/>
        </w:rPr>
        <w:t>&lt;&lt;</w:t>
      </w:r>
      <w:r w:rsidR="00DF3484" w:rsidRPr="00387CE2">
        <w:rPr>
          <w:color w:val="FF0000"/>
          <w:sz w:val="24"/>
          <w:szCs w:val="24"/>
        </w:rPr>
        <w:t xml:space="preserve">art. </w:t>
      </w:r>
      <w:r w:rsidR="00406748" w:rsidRPr="00387CE2">
        <w:rPr>
          <w:color w:val="FF0000"/>
          <w:sz w:val="24"/>
          <w:szCs w:val="24"/>
        </w:rPr>
        <w:t>6</w:t>
      </w:r>
      <w:r w:rsidR="00DF3484" w:rsidRPr="00387CE2">
        <w:rPr>
          <w:color w:val="FF0000"/>
          <w:sz w:val="24"/>
          <w:szCs w:val="24"/>
        </w:rPr>
        <w:t>º,</w:t>
      </w:r>
      <w:r w:rsidR="00406748" w:rsidRPr="00387CE2">
        <w:rPr>
          <w:color w:val="FF0000"/>
          <w:sz w:val="24"/>
          <w:szCs w:val="24"/>
        </w:rPr>
        <w:t xml:space="preserve"> inciso II, </w:t>
      </w:r>
      <w:r w:rsidR="006C72F2">
        <w:rPr>
          <w:color w:val="FF0000"/>
          <w:sz w:val="24"/>
          <w:szCs w:val="24"/>
        </w:rPr>
        <w:t xml:space="preserve">c/c o art. 19 </w:t>
      </w:r>
      <w:r w:rsidR="00406748" w:rsidRPr="00387CE2">
        <w:rPr>
          <w:color w:val="FF0000"/>
          <w:sz w:val="24"/>
          <w:szCs w:val="24"/>
        </w:rPr>
        <w:t xml:space="preserve">da </w:t>
      </w:r>
      <w:r w:rsidR="00DF3484" w:rsidRPr="00387CE2">
        <w:rPr>
          <w:color w:val="FF0000"/>
          <w:sz w:val="24"/>
          <w:szCs w:val="24"/>
        </w:rPr>
        <w:t>IN/TCU</w:t>
      </w:r>
      <w:r w:rsidR="00406748" w:rsidRPr="00387CE2">
        <w:rPr>
          <w:color w:val="FF0000"/>
          <w:sz w:val="24"/>
          <w:szCs w:val="24"/>
        </w:rPr>
        <w:t xml:space="preserve"> 71/2012, </w:t>
      </w:r>
      <w:r w:rsidR="00387CE2">
        <w:rPr>
          <w:color w:val="FF0000"/>
          <w:sz w:val="24"/>
          <w:szCs w:val="24"/>
        </w:rPr>
        <w:t>ou outra</w:t>
      </w:r>
      <w:r w:rsidR="00406748" w:rsidRPr="00387CE2">
        <w:rPr>
          <w:color w:val="FF0000"/>
          <w:sz w:val="24"/>
          <w:szCs w:val="24"/>
        </w:rPr>
        <w:t xml:space="preserve"> </w:t>
      </w:r>
      <w:r w:rsidR="00387CE2">
        <w:rPr>
          <w:color w:val="FF0000"/>
          <w:sz w:val="24"/>
          <w:szCs w:val="24"/>
        </w:rPr>
        <w:t>normatização</w:t>
      </w:r>
      <w:r w:rsidR="00406748" w:rsidRPr="00387CE2">
        <w:rPr>
          <w:color w:val="FF0000"/>
          <w:sz w:val="24"/>
          <w:szCs w:val="24"/>
        </w:rPr>
        <w:t xml:space="preserve"> aplicável&gt;&gt;</w:t>
      </w:r>
      <w:r w:rsidR="00406748">
        <w:rPr>
          <w:sz w:val="24"/>
          <w:szCs w:val="24"/>
        </w:rPr>
        <w:t xml:space="preserve">, </w:t>
      </w:r>
      <w:r w:rsidR="00DF3484">
        <w:rPr>
          <w:sz w:val="24"/>
          <w:szCs w:val="24"/>
        </w:rPr>
        <w:t xml:space="preserve">apesar de admitido em tese, precisa ser avaliado em confronto com os elementos disponíveis em cada caso, com o objetivo de verificar se houve, de fato, prejuízo ao pleno exercício do contraditório e da ampla defesa.    </w:t>
      </w:r>
    </w:p>
    <w:p w14:paraId="4080F189" w14:textId="7130547E" w:rsidR="00EE2403" w:rsidRDefault="00EE2403" w:rsidP="00EE2403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No presente caso, verifica-se que há, de fato, possibilidade de reconstituição do quadro que sustenta a imputação de débito ao responsável, conforme evidências acostadas aos autos </w:t>
      </w:r>
      <w:r w:rsidRPr="008729E8">
        <w:rPr>
          <w:color w:val="FF0000"/>
          <w:sz w:val="24"/>
          <w:szCs w:val="24"/>
        </w:rPr>
        <w:t>&lt;&lt;</w:t>
      </w:r>
      <w:r w:rsidR="00FF384B" w:rsidRPr="00FF384B">
        <w:rPr>
          <w:sz w:val="24"/>
          <w:szCs w:val="24"/>
        </w:rPr>
        <w:t>peça</w:t>
      </w:r>
      <w:r w:rsidR="00FF384B">
        <w:rPr>
          <w:color w:val="FF0000"/>
          <w:sz w:val="24"/>
          <w:szCs w:val="24"/>
        </w:rPr>
        <w:t xml:space="preserve"> </w:t>
      </w:r>
      <w:proofErr w:type="spellStart"/>
      <w:r w:rsidR="00FF384B">
        <w:rPr>
          <w:color w:val="FF0000"/>
          <w:sz w:val="24"/>
          <w:szCs w:val="24"/>
        </w:rPr>
        <w:t>xx</w:t>
      </w:r>
      <w:proofErr w:type="spellEnd"/>
      <w:r w:rsidR="00FF384B" w:rsidRPr="00FF384B">
        <w:rPr>
          <w:sz w:val="24"/>
          <w:szCs w:val="24"/>
        </w:rPr>
        <w:t xml:space="preserve">, </w:t>
      </w:r>
      <w:r w:rsidRPr="00FF384B">
        <w:rPr>
          <w:sz w:val="24"/>
          <w:szCs w:val="24"/>
        </w:rPr>
        <w:t xml:space="preserve">p. </w:t>
      </w:r>
      <w:proofErr w:type="spellStart"/>
      <w:r w:rsidRPr="008729E8">
        <w:rPr>
          <w:color w:val="FF0000"/>
          <w:sz w:val="24"/>
          <w:szCs w:val="24"/>
        </w:rPr>
        <w:t>xxx-xxx</w:t>
      </w:r>
      <w:proofErr w:type="spellEnd"/>
      <w:r w:rsidRPr="008729E8">
        <w:rPr>
          <w:color w:val="FF0000"/>
          <w:sz w:val="24"/>
          <w:szCs w:val="24"/>
        </w:rPr>
        <w:t>&gt;&gt;</w:t>
      </w:r>
      <w:r>
        <w:rPr>
          <w:color w:val="FF0000"/>
          <w:sz w:val="24"/>
          <w:szCs w:val="24"/>
        </w:rPr>
        <w:t xml:space="preserve">, as quais </w:t>
      </w:r>
      <w:r w:rsidR="003564F4">
        <w:rPr>
          <w:color w:val="FF0000"/>
          <w:sz w:val="24"/>
          <w:szCs w:val="24"/>
        </w:rPr>
        <w:t xml:space="preserve">apontam para a existência de </w:t>
      </w:r>
      <w:r>
        <w:rPr>
          <w:color w:val="FF0000"/>
          <w:sz w:val="24"/>
          <w:szCs w:val="24"/>
        </w:rPr>
        <w:t>&lt;&lt;indicar causas que p</w:t>
      </w:r>
      <w:r w:rsidR="0003009D">
        <w:rPr>
          <w:color w:val="FF0000"/>
          <w:sz w:val="24"/>
          <w:szCs w:val="24"/>
        </w:rPr>
        <w:t>ermitem concluir pela p</w:t>
      </w:r>
      <w:r>
        <w:rPr>
          <w:color w:val="FF0000"/>
          <w:sz w:val="24"/>
          <w:szCs w:val="24"/>
        </w:rPr>
        <w:t>ossibili</w:t>
      </w:r>
      <w:r w:rsidR="0003009D">
        <w:rPr>
          <w:color w:val="FF0000"/>
          <w:sz w:val="24"/>
          <w:szCs w:val="24"/>
        </w:rPr>
        <w:t xml:space="preserve">dade do </w:t>
      </w:r>
      <w:r>
        <w:rPr>
          <w:color w:val="FF0000"/>
          <w:sz w:val="24"/>
          <w:szCs w:val="24"/>
        </w:rPr>
        <w:t>exercício do direito de defesa&gt;&gt;</w:t>
      </w:r>
      <w:r>
        <w:rPr>
          <w:sz w:val="24"/>
          <w:szCs w:val="24"/>
        </w:rPr>
        <w:t xml:space="preserve">. </w:t>
      </w:r>
      <w:r w:rsidR="0003009D">
        <w:rPr>
          <w:sz w:val="24"/>
          <w:szCs w:val="24"/>
        </w:rPr>
        <w:t xml:space="preserve">Portanto, resta clara a existência de elementos capazes de elidir suposto comprometimento ao exercício do direito de defesa em face do longo tempo decorrido entre os fatos e a instauração desta tomada de contas especial. </w:t>
      </w:r>
      <w:r>
        <w:rPr>
          <w:sz w:val="24"/>
          <w:szCs w:val="24"/>
        </w:rPr>
        <w:t xml:space="preserve">  </w:t>
      </w:r>
    </w:p>
    <w:p w14:paraId="2DBEFBDF" w14:textId="3FDC2944" w:rsidR="00EE2403" w:rsidRPr="00227B67" w:rsidRDefault="00EE2403" w:rsidP="00EE2403">
      <w:pPr>
        <w:pStyle w:val="Corpodetexto"/>
        <w:spacing w:before="120"/>
        <w:ind w:firstLine="113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</w:t>
      </w:r>
      <w:r w:rsidRPr="003C2D79">
        <w:rPr>
          <w:sz w:val="24"/>
          <w:szCs w:val="24"/>
        </w:rPr>
        <w:t xml:space="preserve">m casos semelhantes, </w:t>
      </w:r>
      <w:r w:rsidR="0003009D">
        <w:rPr>
          <w:sz w:val="24"/>
          <w:szCs w:val="24"/>
        </w:rPr>
        <w:t>nos quais resta evidenciada ausência</w:t>
      </w:r>
      <w:r w:rsidR="00075B31">
        <w:rPr>
          <w:sz w:val="24"/>
          <w:szCs w:val="24"/>
        </w:rPr>
        <w:t xml:space="preserve"> de prejuízo </w:t>
      </w:r>
      <w:r w:rsidR="0003009D">
        <w:rPr>
          <w:sz w:val="24"/>
          <w:szCs w:val="24"/>
        </w:rPr>
        <w:t xml:space="preserve">ao direito de defesa, </w:t>
      </w:r>
      <w:r w:rsidR="001E14CA">
        <w:rPr>
          <w:sz w:val="24"/>
          <w:szCs w:val="24"/>
        </w:rPr>
        <w:t xml:space="preserve">a jurisprudência desta Corte tem reiterado que o </w:t>
      </w:r>
      <w:r w:rsidR="001E14CA" w:rsidRPr="00462264">
        <w:rPr>
          <w:color w:val="FF0000"/>
          <w:sz w:val="24"/>
          <w:szCs w:val="24"/>
        </w:rPr>
        <w:t xml:space="preserve">&lt;&lt;art. 6º, inciso II, </w:t>
      </w:r>
      <w:r w:rsidR="006C72F2">
        <w:rPr>
          <w:color w:val="FF0000"/>
          <w:sz w:val="24"/>
          <w:szCs w:val="24"/>
        </w:rPr>
        <w:t xml:space="preserve">c/c o art. 19 </w:t>
      </w:r>
      <w:r w:rsidR="001E14CA" w:rsidRPr="00462264">
        <w:rPr>
          <w:color w:val="FF0000"/>
          <w:sz w:val="24"/>
          <w:szCs w:val="24"/>
        </w:rPr>
        <w:t xml:space="preserve">da IN/TCU 71/2012 </w:t>
      </w:r>
      <w:r w:rsidR="00462264" w:rsidRPr="00462264">
        <w:rPr>
          <w:color w:val="FF0000"/>
          <w:sz w:val="24"/>
          <w:szCs w:val="24"/>
        </w:rPr>
        <w:t>ou outra normatização</w:t>
      </w:r>
      <w:r w:rsidR="001E14CA" w:rsidRPr="00462264">
        <w:rPr>
          <w:color w:val="FF0000"/>
          <w:sz w:val="24"/>
          <w:szCs w:val="24"/>
        </w:rPr>
        <w:t xml:space="preserve"> aplicável&gt;&gt;</w:t>
      </w:r>
      <w:r w:rsidR="001E14CA">
        <w:rPr>
          <w:sz w:val="24"/>
          <w:szCs w:val="24"/>
        </w:rPr>
        <w:t xml:space="preserve">, não tem aplicação automática em face do simples transcurso do prazo de dez anos da citação, preponderando a imputação de débito caso demonstrada a ausência de prejuízo ao exercício do contraditório e da ampla </w:t>
      </w:r>
      <w:r w:rsidR="001E14CA" w:rsidRPr="00227B67">
        <w:rPr>
          <w:color w:val="000000" w:themeColor="text1"/>
          <w:sz w:val="24"/>
          <w:szCs w:val="24"/>
        </w:rPr>
        <w:t xml:space="preserve">defesa </w:t>
      </w:r>
      <w:r w:rsidRPr="00227B67">
        <w:rPr>
          <w:color w:val="000000" w:themeColor="text1"/>
          <w:sz w:val="24"/>
          <w:szCs w:val="24"/>
        </w:rPr>
        <w:t xml:space="preserve">(Acórdãos </w:t>
      </w:r>
      <w:r w:rsidR="007B146F" w:rsidRPr="00227B67">
        <w:rPr>
          <w:color w:val="000000" w:themeColor="text1"/>
          <w:sz w:val="24"/>
          <w:szCs w:val="24"/>
        </w:rPr>
        <w:t>2.511</w:t>
      </w:r>
      <w:r w:rsidRPr="00227B67">
        <w:rPr>
          <w:color w:val="000000" w:themeColor="text1"/>
          <w:sz w:val="24"/>
          <w:szCs w:val="24"/>
        </w:rPr>
        <w:t xml:space="preserve">/2015-TCU-Plenário, </w:t>
      </w:r>
      <w:r w:rsidR="007B146F" w:rsidRPr="00227B67">
        <w:rPr>
          <w:color w:val="000000" w:themeColor="text1"/>
          <w:sz w:val="24"/>
          <w:szCs w:val="24"/>
        </w:rPr>
        <w:t>2.630</w:t>
      </w:r>
      <w:r w:rsidRPr="00227B67">
        <w:rPr>
          <w:color w:val="000000" w:themeColor="text1"/>
          <w:sz w:val="24"/>
          <w:szCs w:val="24"/>
        </w:rPr>
        <w:t>/2015-TCU-2</w:t>
      </w:r>
      <w:r w:rsidRPr="00227B67">
        <w:rPr>
          <w:color w:val="000000" w:themeColor="text1"/>
          <w:sz w:val="24"/>
          <w:szCs w:val="24"/>
          <w:u w:val="single"/>
          <w:vertAlign w:val="superscript"/>
        </w:rPr>
        <w:t>a</w:t>
      </w:r>
      <w:r w:rsidRPr="00227B67">
        <w:rPr>
          <w:color w:val="000000" w:themeColor="text1"/>
          <w:sz w:val="24"/>
          <w:szCs w:val="24"/>
        </w:rPr>
        <w:t xml:space="preserve"> Câmara, </w:t>
      </w:r>
      <w:r w:rsidR="007B146F" w:rsidRPr="00227B67">
        <w:rPr>
          <w:color w:val="000000" w:themeColor="text1"/>
          <w:sz w:val="24"/>
          <w:szCs w:val="24"/>
        </w:rPr>
        <w:t>3.</w:t>
      </w:r>
      <w:r w:rsidRPr="00227B67">
        <w:rPr>
          <w:color w:val="000000" w:themeColor="text1"/>
          <w:sz w:val="24"/>
          <w:szCs w:val="24"/>
        </w:rPr>
        <w:t>5</w:t>
      </w:r>
      <w:r w:rsidR="007B146F" w:rsidRPr="00227B67">
        <w:rPr>
          <w:color w:val="000000" w:themeColor="text1"/>
          <w:sz w:val="24"/>
          <w:szCs w:val="24"/>
        </w:rPr>
        <w:t>35</w:t>
      </w:r>
      <w:r w:rsidRPr="00227B67">
        <w:rPr>
          <w:color w:val="000000" w:themeColor="text1"/>
          <w:sz w:val="24"/>
          <w:szCs w:val="24"/>
        </w:rPr>
        <w:t>/2015-TCU-2</w:t>
      </w:r>
      <w:r w:rsidRPr="00227B67">
        <w:rPr>
          <w:color w:val="000000" w:themeColor="text1"/>
          <w:sz w:val="24"/>
          <w:szCs w:val="24"/>
          <w:u w:val="single"/>
          <w:vertAlign w:val="superscript"/>
        </w:rPr>
        <w:t>a</w:t>
      </w:r>
      <w:r w:rsidRPr="00227B67">
        <w:rPr>
          <w:color w:val="000000" w:themeColor="text1"/>
          <w:sz w:val="24"/>
          <w:szCs w:val="24"/>
        </w:rPr>
        <w:t xml:space="preserve"> Câmara,</w:t>
      </w:r>
      <w:r w:rsidR="006C72F2">
        <w:rPr>
          <w:color w:val="000000" w:themeColor="text1"/>
          <w:sz w:val="24"/>
          <w:szCs w:val="24"/>
        </w:rPr>
        <w:t xml:space="preserve"> </w:t>
      </w:r>
      <w:r w:rsidR="007B146F" w:rsidRPr="00227B67">
        <w:rPr>
          <w:color w:val="000000" w:themeColor="text1"/>
          <w:sz w:val="24"/>
          <w:szCs w:val="24"/>
        </w:rPr>
        <w:t>9</w:t>
      </w:r>
      <w:r w:rsidRPr="00227B67">
        <w:rPr>
          <w:color w:val="000000" w:themeColor="text1"/>
          <w:sz w:val="24"/>
          <w:szCs w:val="24"/>
        </w:rPr>
        <w:t>.</w:t>
      </w:r>
      <w:r w:rsidR="007B146F" w:rsidRPr="00227B67">
        <w:rPr>
          <w:color w:val="000000" w:themeColor="text1"/>
          <w:sz w:val="24"/>
          <w:szCs w:val="24"/>
        </w:rPr>
        <w:t>570</w:t>
      </w:r>
      <w:r w:rsidRPr="00227B67">
        <w:rPr>
          <w:color w:val="000000" w:themeColor="text1"/>
          <w:sz w:val="24"/>
          <w:szCs w:val="24"/>
        </w:rPr>
        <w:t>/2015-TCU-2</w:t>
      </w:r>
      <w:r w:rsidRPr="00227B67">
        <w:rPr>
          <w:color w:val="000000" w:themeColor="text1"/>
          <w:sz w:val="24"/>
          <w:szCs w:val="24"/>
          <w:u w:val="single"/>
          <w:vertAlign w:val="superscript"/>
        </w:rPr>
        <w:t>a</w:t>
      </w:r>
      <w:r w:rsidRPr="00227B67">
        <w:rPr>
          <w:color w:val="000000" w:themeColor="text1"/>
          <w:sz w:val="24"/>
          <w:szCs w:val="24"/>
        </w:rPr>
        <w:t xml:space="preserve"> Câmara, </w:t>
      </w:r>
      <w:r w:rsidR="007B146F" w:rsidRPr="00227B67">
        <w:rPr>
          <w:color w:val="000000" w:themeColor="text1"/>
          <w:sz w:val="24"/>
          <w:szCs w:val="24"/>
        </w:rPr>
        <w:t>444</w:t>
      </w:r>
      <w:r w:rsidRPr="00227B67">
        <w:rPr>
          <w:color w:val="000000" w:themeColor="text1"/>
          <w:sz w:val="24"/>
          <w:szCs w:val="24"/>
        </w:rPr>
        <w:t>/201</w:t>
      </w:r>
      <w:r w:rsidR="007B146F" w:rsidRPr="00227B67">
        <w:rPr>
          <w:color w:val="000000" w:themeColor="text1"/>
          <w:sz w:val="24"/>
          <w:szCs w:val="24"/>
        </w:rPr>
        <w:t>6</w:t>
      </w:r>
      <w:r w:rsidRPr="00227B67">
        <w:rPr>
          <w:color w:val="000000" w:themeColor="text1"/>
          <w:sz w:val="24"/>
          <w:szCs w:val="24"/>
        </w:rPr>
        <w:t>-TCU-2</w:t>
      </w:r>
      <w:r w:rsidRPr="00227B67">
        <w:rPr>
          <w:color w:val="000000" w:themeColor="text1"/>
          <w:sz w:val="24"/>
          <w:szCs w:val="24"/>
          <w:u w:val="single"/>
          <w:vertAlign w:val="superscript"/>
        </w:rPr>
        <w:t>a</w:t>
      </w:r>
      <w:r w:rsidRPr="00227B67">
        <w:rPr>
          <w:color w:val="000000" w:themeColor="text1"/>
          <w:sz w:val="24"/>
          <w:szCs w:val="24"/>
        </w:rPr>
        <w:t xml:space="preserve"> Câmara</w:t>
      </w:r>
      <w:r w:rsidR="007B146F" w:rsidRPr="00227B67">
        <w:rPr>
          <w:color w:val="000000" w:themeColor="text1"/>
          <w:sz w:val="24"/>
          <w:szCs w:val="24"/>
        </w:rPr>
        <w:t xml:space="preserve"> e 2</w:t>
      </w:r>
      <w:r w:rsidRPr="00227B67">
        <w:rPr>
          <w:color w:val="000000" w:themeColor="text1"/>
          <w:sz w:val="24"/>
          <w:szCs w:val="24"/>
        </w:rPr>
        <w:t>.</w:t>
      </w:r>
      <w:r w:rsidR="007B146F" w:rsidRPr="00227B67">
        <w:rPr>
          <w:color w:val="000000" w:themeColor="text1"/>
          <w:sz w:val="24"/>
          <w:szCs w:val="24"/>
        </w:rPr>
        <w:t>024</w:t>
      </w:r>
      <w:r w:rsidRPr="00227B67">
        <w:rPr>
          <w:color w:val="000000" w:themeColor="text1"/>
          <w:sz w:val="24"/>
          <w:szCs w:val="24"/>
        </w:rPr>
        <w:t>/201</w:t>
      </w:r>
      <w:r w:rsidR="007B146F" w:rsidRPr="00227B67">
        <w:rPr>
          <w:color w:val="000000" w:themeColor="text1"/>
          <w:sz w:val="24"/>
          <w:szCs w:val="24"/>
        </w:rPr>
        <w:t>6</w:t>
      </w:r>
      <w:r w:rsidRPr="00227B67">
        <w:rPr>
          <w:color w:val="000000" w:themeColor="text1"/>
          <w:sz w:val="24"/>
          <w:szCs w:val="24"/>
        </w:rPr>
        <w:t>-TCU-2</w:t>
      </w:r>
      <w:r w:rsidRPr="00227B67">
        <w:rPr>
          <w:color w:val="000000" w:themeColor="text1"/>
          <w:sz w:val="24"/>
          <w:szCs w:val="24"/>
          <w:u w:val="single"/>
          <w:vertAlign w:val="superscript"/>
        </w:rPr>
        <w:t>a</w:t>
      </w:r>
      <w:r w:rsidRPr="00227B67">
        <w:rPr>
          <w:color w:val="000000" w:themeColor="text1"/>
          <w:sz w:val="24"/>
          <w:szCs w:val="24"/>
        </w:rPr>
        <w:t xml:space="preserve"> Câmara</w:t>
      </w:r>
      <w:r w:rsidR="007B146F" w:rsidRPr="00227B67">
        <w:rPr>
          <w:color w:val="000000" w:themeColor="text1"/>
          <w:sz w:val="24"/>
          <w:szCs w:val="24"/>
        </w:rPr>
        <w:t xml:space="preserve">, </w:t>
      </w:r>
      <w:r w:rsidRPr="00227B67">
        <w:rPr>
          <w:color w:val="000000" w:themeColor="text1"/>
          <w:sz w:val="24"/>
          <w:szCs w:val="24"/>
        </w:rPr>
        <w:t>dentre outros).</w:t>
      </w:r>
    </w:p>
    <w:p w14:paraId="12D17175" w14:textId="59AD1D7C" w:rsidR="00F1785C" w:rsidRDefault="00F1785C" w:rsidP="00EE2403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Essa linha de entendimento resguarda o reconhecimento da imprescritibilidade das ações de ressarcimento </w:t>
      </w:r>
      <w:r w:rsidR="009C4224">
        <w:rPr>
          <w:sz w:val="24"/>
          <w:szCs w:val="24"/>
        </w:rPr>
        <w:t>ao erário</w:t>
      </w:r>
      <w:r>
        <w:rPr>
          <w:sz w:val="24"/>
          <w:szCs w:val="24"/>
        </w:rPr>
        <w:t xml:space="preserve">, conforme </w:t>
      </w:r>
      <w:r w:rsidR="009C4224">
        <w:rPr>
          <w:sz w:val="24"/>
          <w:szCs w:val="24"/>
        </w:rPr>
        <w:t>enunciado da Súmula</w:t>
      </w:r>
      <w:r w:rsidR="00FB3FD0">
        <w:rPr>
          <w:sz w:val="24"/>
          <w:szCs w:val="24"/>
        </w:rPr>
        <w:t xml:space="preserve"> de jurisprudência </w:t>
      </w:r>
      <w:r w:rsidR="009C4224">
        <w:rPr>
          <w:sz w:val="24"/>
          <w:szCs w:val="24"/>
        </w:rPr>
        <w:t>282</w:t>
      </w:r>
      <w:r w:rsidR="00843AE3">
        <w:rPr>
          <w:sz w:val="24"/>
          <w:szCs w:val="24"/>
        </w:rPr>
        <w:t xml:space="preserve"> deste Tribunal</w:t>
      </w:r>
      <w:r w:rsidR="009C4224">
        <w:rPr>
          <w:sz w:val="24"/>
          <w:szCs w:val="24"/>
        </w:rPr>
        <w:t xml:space="preserve">, </w:t>
      </w:r>
      <w:r w:rsidR="00FB3FD0">
        <w:rPr>
          <w:sz w:val="24"/>
          <w:szCs w:val="24"/>
        </w:rPr>
        <w:t xml:space="preserve">exarada em consonância com o posicionamento do </w:t>
      </w:r>
      <w:r>
        <w:rPr>
          <w:sz w:val="24"/>
          <w:szCs w:val="24"/>
        </w:rPr>
        <w:t>Supremo Tribunal Federal</w:t>
      </w:r>
      <w:r w:rsidR="009C4224">
        <w:rPr>
          <w:sz w:val="24"/>
          <w:szCs w:val="24"/>
        </w:rPr>
        <w:t xml:space="preserve"> no bojo do Mandado de Segurança </w:t>
      </w:r>
      <w:r w:rsidR="00FB3FD0">
        <w:rPr>
          <w:sz w:val="24"/>
          <w:szCs w:val="24"/>
        </w:rPr>
        <w:t>26.210/DF, DOU de 10/10</w:t>
      </w:r>
      <w:r w:rsidR="006C72F2">
        <w:rPr>
          <w:sz w:val="24"/>
          <w:szCs w:val="24"/>
        </w:rPr>
        <w:t>/</w:t>
      </w:r>
      <w:r w:rsidR="00FB3FD0">
        <w:rPr>
          <w:sz w:val="24"/>
          <w:szCs w:val="24"/>
        </w:rPr>
        <w:t>2008.</w:t>
      </w:r>
    </w:p>
    <w:p w14:paraId="07FA4802" w14:textId="760860D2" w:rsidR="00AA608D" w:rsidRDefault="00EE2403" w:rsidP="00EE2403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Assim, </w:t>
      </w:r>
      <w:r w:rsidR="00843AE3">
        <w:rPr>
          <w:sz w:val="24"/>
          <w:szCs w:val="24"/>
        </w:rPr>
        <w:t xml:space="preserve">ante a ausência </w:t>
      </w:r>
      <w:r w:rsidR="00187D7F">
        <w:rPr>
          <w:sz w:val="24"/>
          <w:szCs w:val="24"/>
        </w:rPr>
        <w:t xml:space="preserve">de provas aptas a demonstrar o prejuízo à ampla defesa, </w:t>
      </w:r>
      <w:r w:rsidR="00C96D4A">
        <w:rPr>
          <w:sz w:val="24"/>
          <w:szCs w:val="24"/>
        </w:rPr>
        <w:t>as irregularidades presentes nestes autos constituem motivo suficiente para proposta de julgamento destas contas pela irregularidade, com a consequente imputação de débito e aplicação de multa</w:t>
      </w:r>
      <w:r w:rsidR="00FF384B">
        <w:rPr>
          <w:sz w:val="24"/>
          <w:szCs w:val="24"/>
        </w:rPr>
        <w:t xml:space="preserve"> </w:t>
      </w:r>
      <w:r w:rsidR="00FF384B" w:rsidRPr="00FF384B">
        <w:rPr>
          <w:color w:val="365F91" w:themeColor="accent1" w:themeShade="BF"/>
          <w:sz w:val="24"/>
          <w:szCs w:val="24"/>
        </w:rPr>
        <w:t>(</w:t>
      </w:r>
      <w:r w:rsidR="00C96D4A" w:rsidRPr="00FF384B">
        <w:rPr>
          <w:color w:val="365F91" w:themeColor="accent1" w:themeShade="BF"/>
          <w:sz w:val="24"/>
          <w:szCs w:val="24"/>
        </w:rPr>
        <w:t>se for o caso</w:t>
      </w:r>
      <w:r w:rsidR="00FF384B" w:rsidRPr="00FF384B">
        <w:rPr>
          <w:color w:val="365F91" w:themeColor="accent1" w:themeShade="BF"/>
          <w:sz w:val="24"/>
          <w:szCs w:val="24"/>
        </w:rPr>
        <w:t>)</w:t>
      </w:r>
      <w:r w:rsidR="00C96D4A">
        <w:rPr>
          <w:sz w:val="24"/>
          <w:szCs w:val="24"/>
        </w:rPr>
        <w:t>.</w:t>
      </w:r>
    </w:p>
    <w:p w14:paraId="25BBF0D2" w14:textId="5B3E3899" w:rsidR="00AA608D" w:rsidRPr="00C67EC2" w:rsidRDefault="004D0681" w:rsidP="00FF384B">
      <w:pPr>
        <w:pStyle w:val="Corpodetexto"/>
        <w:spacing w:before="360" w:after="120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  <w:lang w:eastAsia="pt-BR"/>
        </w:rPr>
        <w:t>Á</w:t>
      </w:r>
      <w:r w:rsidR="00AA608D" w:rsidRPr="00C67EC2">
        <w:rPr>
          <w:color w:val="365F91" w:themeColor="accent1" w:themeShade="BF"/>
          <w:sz w:val="24"/>
          <w:szCs w:val="24"/>
          <w:lang w:eastAsia="pt-BR"/>
        </w:rPr>
        <w:t xml:space="preserve">rea: Processual; </w:t>
      </w:r>
      <w:r>
        <w:rPr>
          <w:color w:val="365F91" w:themeColor="accent1" w:themeShade="BF"/>
          <w:sz w:val="24"/>
          <w:szCs w:val="24"/>
          <w:lang w:eastAsia="pt-BR"/>
        </w:rPr>
        <w:t>T</w:t>
      </w:r>
      <w:r w:rsidR="00AA608D" w:rsidRPr="00C67EC2">
        <w:rPr>
          <w:color w:val="365F91" w:themeColor="accent1" w:themeShade="BF"/>
          <w:sz w:val="24"/>
          <w:szCs w:val="24"/>
          <w:lang w:eastAsia="pt-BR"/>
        </w:rPr>
        <w:t xml:space="preserve">ema: Arquivamento; </w:t>
      </w:r>
      <w:r>
        <w:rPr>
          <w:color w:val="365F91" w:themeColor="accent1" w:themeShade="BF"/>
          <w:sz w:val="24"/>
          <w:szCs w:val="24"/>
          <w:lang w:eastAsia="pt-BR"/>
        </w:rPr>
        <w:t>S</w:t>
      </w:r>
      <w:r w:rsidR="00AA608D" w:rsidRPr="00C67EC2">
        <w:rPr>
          <w:color w:val="365F91" w:themeColor="accent1" w:themeShade="BF"/>
          <w:sz w:val="24"/>
          <w:szCs w:val="24"/>
          <w:lang w:eastAsia="pt-BR"/>
        </w:rPr>
        <w:t>ubtema: Arquivamento.</w:t>
      </w:r>
    </w:p>
    <w:sectPr w:rsidR="00AA608D" w:rsidRPr="00C67EC2" w:rsidSect="00CF327B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23E62"/>
    <w:rsid w:val="0002492A"/>
    <w:rsid w:val="0003009D"/>
    <w:rsid w:val="00033CC0"/>
    <w:rsid w:val="000407F1"/>
    <w:rsid w:val="00043A4D"/>
    <w:rsid w:val="00050E80"/>
    <w:rsid w:val="00075B31"/>
    <w:rsid w:val="00085931"/>
    <w:rsid w:val="0009072F"/>
    <w:rsid w:val="000E5D8C"/>
    <w:rsid w:val="00114522"/>
    <w:rsid w:val="0011579E"/>
    <w:rsid w:val="00115ADE"/>
    <w:rsid w:val="00116DE9"/>
    <w:rsid w:val="00121B55"/>
    <w:rsid w:val="00132BBD"/>
    <w:rsid w:val="00134490"/>
    <w:rsid w:val="001358C5"/>
    <w:rsid w:val="001377DD"/>
    <w:rsid w:val="0015170F"/>
    <w:rsid w:val="00151BC6"/>
    <w:rsid w:val="0016191E"/>
    <w:rsid w:val="00164318"/>
    <w:rsid w:val="001852E6"/>
    <w:rsid w:val="00187D7F"/>
    <w:rsid w:val="001C1033"/>
    <w:rsid w:val="001D2F53"/>
    <w:rsid w:val="001E0802"/>
    <w:rsid w:val="001E14CA"/>
    <w:rsid w:val="001E5C42"/>
    <w:rsid w:val="001F40E9"/>
    <w:rsid w:val="00201E0D"/>
    <w:rsid w:val="00203788"/>
    <w:rsid w:val="00211D7E"/>
    <w:rsid w:val="00227B67"/>
    <w:rsid w:val="002316E3"/>
    <w:rsid w:val="00257C3E"/>
    <w:rsid w:val="00274ACD"/>
    <w:rsid w:val="00275471"/>
    <w:rsid w:val="0027671B"/>
    <w:rsid w:val="002778B1"/>
    <w:rsid w:val="002971A5"/>
    <w:rsid w:val="002A029F"/>
    <w:rsid w:val="002B6C13"/>
    <w:rsid w:val="002C72BD"/>
    <w:rsid w:val="002E0611"/>
    <w:rsid w:val="002E794A"/>
    <w:rsid w:val="003129F9"/>
    <w:rsid w:val="0033627F"/>
    <w:rsid w:val="003564F4"/>
    <w:rsid w:val="00360D52"/>
    <w:rsid w:val="00387CE2"/>
    <w:rsid w:val="003A1CBA"/>
    <w:rsid w:val="003A5AEE"/>
    <w:rsid w:val="003B3D79"/>
    <w:rsid w:val="003C1C6A"/>
    <w:rsid w:val="003C2D79"/>
    <w:rsid w:val="00400667"/>
    <w:rsid w:val="00406748"/>
    <w:rsid w:val="004072A5"/>
    <w:rsid w:val="004206BC"/>
    <w:rsid w:val="00425F78"/>
    <w:rsid w:val="00427C66"/>
    <w:rsid w:val="00451181"/>
    <w:rsid w:val="00462264"/>
    <w:rsid w:val="00464E93"/>
    <w:rsid w:val="00466AA2"/>
    <w:rsid w:val="00482055"/>
    <w:rsid w:val="0049709E"/>
    <w:rsid w:val="004A1051"/>
    <w:rsid w:val="004D0681"/>
    <w:rsid w:val="004D4469"/>
    <w:rsid w:val="004D6E2E"/>
    <w:rsid w:val="00502DE1"/>
    <w:rsid w:val="005062E4"/>
    <w:rsid w:val="00573148"/>
    <w:rsid w:val="00573667"/>
    <w:rsid w:val="00581676"/>
    <w:rsid w:val="00583018"/>
    <w:rsid w:val="005B2D23"/>
    <w:rsid w:val="005E5BAA"/>
    <w:rsid w:val="005E5C3B"/>
    <w:rsid w:val="006278E7"/>
    <w:rsid w:val="006555B6"/>
    <w:rsid w:val="006659E6"/>
    <w:rsid w:val="00681966"/>
    <w:rsid w:val="006822E3"/>
    <w:rsid w:val="006831BF"/>
    <w:rsid w:val="006A2D80"/>
    <w:rsid w:val="006A5BC1"/>
    <w:rsid w:val="006C11AD"/>
    <w:rsid w:val="006C72F2"/>
    <w:rsid w:val="0071332D"/>
    <w:rsid w:val="00723190"/>
    <w:rsid w:val="00752BE1"/>
    <w:rsid w:val="00765968"/>
    <w:rsid w:val="00774940"/>
    <w:rsid w:val="00786247"/>
    <w:rsid w:val="00787DF6"/>
    <w:rsid w:val="00790051"/>
    <w:rsid w:val="007A1A3E"/>
    <w:rsid w:val="007B146F"/>
    <w:rsid w:val="007B58EF"/>
    <w:rsid w:val="007C133C"/>
    <w:rsid w:val="007D46F7"/>
    <w:rsid w:val="007E2D0C"/>
    <w:rsid w:val="007E64BE"/>
    <w:rsid w:val="007F72B4"/>
    <w:rsid w:val="0080534B"/>
    <w:rsid w:val="00815E1A"/>
    <w:rsid w:val="00833DA1"/>
    <w:rsid w:val="00834426"/>
    <w:rsid w:val="00843AE3"/>
    <w:rsid w:val="00843DD0"/>
    <w:rsid w:val="00845D19"/>
    <w:rsid w:val="00851A5C"/>
    <w:rsid w:val="00854BAF"/>
    <w:rsid w:val="0085729F"/>
    <w:rsid w:val="00865912"/>
    <w:rsid w:val="008702DC"/>
    <w:rsid w:val="008729E8"/>
    <w:rsid w:val="00872FA6"/>
    <w:rsid w:val="00894D72"/>
    <w:rsid w:val="008A4DC3"/>
    <w:rsid w:val="008C20EA"/>
    <w:rsid w:val="008C75AA"/>
    <w:rsid w:val="008D5A38"/>
    <w:rsid w:val="008F2F95"/>
    <w:rsid w:val="008F7B15"/>
    <w:rsid w:val="00902C79"/>
    <w:rsid w:val="0091242D"/>
    <w:rsid w:val="00915D2F"/>
    <w:rsid w:val="009439E0"/>
    <w:rsid w:val="00967084"/>
    <w:rsid w:val="00991DE1"/>
    <w:rsid w:val="009C4224"/>
    <w:rsid w:val="009D75A7"/>
    <w:rsid w:val="009E397B"/>
    <w:rsid w:val="00A02103"/>
    <w:rsid w:val="00A12954"/>
    <w:rsid w:val="00A21D66"/>
    <w:rsid w:val="00A24285"/>
    <w:rsid w:val="00A42CE1"/>
    <w:rsid w:val="00A51AE2"/>
    <w:rsid w:val="00A663FC"/>
    <w:rsid w:val="00A967ED"/>
    <w:rsid w:val="00AA608D"/>
    <w:rsid w:val="00B06997"/>
    <w:rsid w:val="00B528CE"/>
    <w:rsid w:val="00B5537E"/>
    <w:rsid w:val="00B61CED"/>
    <w:rsid w:val="00B65B30"/>
    <w:rsid w:val="00B7683A"/>
    <w:rsid w:val="00B81ECF"/>
    <w:rsid w:val="00B97530"/>
    <w:rsid w:val="00BA15C9"/>
    <w:rsid w:val="00BB58D3"/>
    <w:rsid w:val="00BB5CA6"/>
    <w:rsid w:val="00BE0D2F"/>
    <w:rsid w:val="00BE4EB9"/>
    <w:rsid w:val="00BE5DF0"/>
    <w:rsid w:val="00C05461"/>
    <w:rsid w:val="00C11AC3"/>
    <w:rsid w:val="00C21498"/>
    <w:rsid w:val="00C232E5"/>
    <w:rsid w:val="00C45636"/>
    <w:rsid w:val="00C61AA2"/>
    <w:rsid w:val="00C6338F"/>
    <w:rsid w:val="00C6346E"/>
    <w:rsid w:val="00C67EC2"/>
    <w:rsid w:val="00C83EBC"/>
    <w:rsid w:val="00C96D4A"/>
    <w:rsid w:val="00CC1AB3"/>
    <w:rsid w:val="00CC4EA4"/>
    <w:rsid w:val="00CC4FB0"/>
    <w:rsid w:val="00CD60F9"/>
    <w:rsid w:val="00CF327B"/>
    <w:rsid w:val="00D20562"/>
    <w:rsid w:val="00D35111"/>
    <w:rsid w:val="00D40448"/>
    <w:rsid w:val="00D42FD8"/>
    <w:rsid w:val="00D56B6F"/>
    <w:rsid w:val="00D6768B"/>
    <w:rsid w:val="00D71AC5"/>
    <w:rsid w:val="00D77055"/>
    <w:rsid w:val="00D8775E"/>
    <w:rsid w:val="00DB3E33"/>
    <w:rsid w:val="00DB50A8"/>
    <w:rsid w:val="00DC28EA"/>
    <w:rsid w:val="00DE2D91"/>
    <w:rsid w:val="00DF017E"/>
    <w:rsid w:val="00DF3484"/>
    <w:rsid w:val="00DF669D"/>
    <w:rsid w:val="00E13321"/>
    <w:rsid w:val="00E212C3"/>
    <w:rsid w:val="00E2290E"/>
    <w:rsid w:val="00E320A7"/>
    <w:rsid w:val="00E35972"/>
    <w:rsid w:val="00E4574C"/>
    <w:rsid w:val="00E50267"/>
    <w:rsid w:val="00E76E5A"/>
    <w:rsid w:val="00E95D50"/>
    <w:rsid w:val="00EC0ECD"/>
    <w:rsid w:val="00EC27AE"/>
    <w:rsid w:val="00EE2403"/>
    <w:rsid w:val="00F00866"/>
    <w:rsid w:val="00F0638D"/>
    <w:rsid w:val="00F1785C"/>
    <w:rsid w:val="00F4030D"/>
    <w:rsid w:val="00F4153F"/>
    <w:rsid w:val="00F43727"/>
    <w:rsid w:val="00F4770E"/>
    <w:rsid w:val="00F84B4C"/>
    <w:rsid w:val="00FB3FD0"/>
    <w:rsid w:val="00FD0D35"/>
    <w:rsid w:val="00FD1CBF"/>
    <w:rsid w:val="00FE795D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D565"/>
  <w15:docId w15:val="{127AA64D-8B96-4DB1-BC82-E706F50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7B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CF327B"/>
  </w:style>
  <w:style w:type="character" w:customStyle="1" w:styleId="BodyTextChar">
    <w:name w:val="Body Text Char"/>
    <w:rsid w:val="00CF327B"/>
    <w:rPr>
      <w:rFonts w:eastAsia="Times New Roman"/>
    </w:rPr>
  </w:style>
  <w:style w:type="character" w:styleId="Hyperlink">
    <w:name w:val="Hyperlink"/>
    <w:semiHidden/>
    <w:rsid w:val="00CF327B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CF327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F327B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CF327B"/>
    <w:rPr>
      <w:rFonts w:cs="Tahoma"/>
    </w:rPr>
  </w:style>
  <w:style w:type="paragraph" w:customStyle="1" w:styleId="Legenda1">
    <w:name w:val="Legenda1"/>
    <w:basedOn w:val="Normal"/>
    <w:rsid w:val="00CF327B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CF327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6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636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456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6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636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6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636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afonsofm</dc:creator>
  <cp:lastModifiedBy>Marcia Nubia Cavalcante Lopes</cp:lastModifiedBy>
  <cp:revision>5</cp:revision>
  <cp:lastPrinted>2016-03-03T18:46:00Z</cp:lastPrinted>
  <dcterms:created xsi:type="dcterms:W3CDTF">2016-03-18T16:23:00Z</dcterms:created>
  <dcterms:modified xsi:type="dcterms:W3CDTF">2016-03-28T19:55:00Z</dcterms:modified>
</cp:coreProperties>
</file>