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1F" w:rsidRPr="00A5541F" w:rsidRDefault="00A5541F" w:rsidP="00A5541F">
      <w:pPr>
        <w:jc w:val="right"/>
        <w:rPr>
          <w:b/>
        </w:rPr>
      </w:pPr>
      <w:r w:rsidRPr="00A5541F">
        <w:rPr>
          <w:b/>
        </w:rPr>
        <w:t>Revisado em 17/3/2016</w:t>
      </w:r>
    </w:p>
    <w:p w:rsidR="00A24285" w:rsidRPr="00D53F75" w:rsidRDefault="001248BB" w:rsidP="00A24285">
      <w:r>
        <w:t xml:space="preserve">Tema </w:t>
      </w:r>
      <w:r w:rsidR="00A919F2">
        <w:t>1</w:t>
      </w:r>
      <w:r w:rsidR="00907740">
        <w:t>5</w:t>
      </w:r>
      <w:bookmarkStart w:id="0" w:name="_GoBack"/>
      <w:bookmarkEnd w:id="0"/>
      <w:r w:rsidR="0085729F" w:rsidRPr="00D53F75">
        <w:t xml:space="preserve"> </w:t>
      </w:r>
      <w:r w:rsidR="00961000">
        <w:noBreakHyphen/>
      </w:r>
      <w:r w:rsidR="0085729F" w:rsidRPr="00D53F75">
        <w:t xml:space="preserve"> </w:t>
      </w:r>
      <w:r w:rsidR="00C17474" w:rsidRPr="00D53F75">
        <w:t>Longo decurso de tempo entre o repasse e a instauração da TCE, sem evidências de esforços para prestação de contas</w:t>
      </w:r>
      <w:r w:rsidR="005D1B39">
        <w:t>, não é suficiente para o trancamento das contas</w:t>
      </w:r>
      <w:r w:rsidR="00961000">
        <w:t>.</w:t>
      </w:r>
    </w:p>
    <w:p w:rsidR="00BB58D3" w:rsidRPr="00D53F75" w:rsidRDefault="00335E14" w:rsidP="00961000">
      <w:pPr>
        <w:spacing w:before="360" w:after="360"/>
        <w:rPr>
          <w:rFonts w:eastAsia="Times New Roman"/>
          <w:b/>
          <w:bCs/>
          <w:color w:val="365F91"/>
        </w:rPr>
      </w:pPr>
      <w:r>
        <w:rPr>
          <w:rFonts w:eastAsia="Times New Roman"/>
          <w:b/>
          <w:bCs/>
          <w:color w:val="365F91"/>
        </w:rPr>
        <w:t>No caso de omissão no dever de prestar contas, o</w:t>
      </w:r>
      <w:r w:rsidR="00C17474" w:rsidRPr="00D53F75">
        <w:rPr>
          <w:rFonts w:eastAsia="Times New Roman"/>
          <w:b/>
          <w:bCs/>
          <w:color w:val="365F91"/>
        </w:rPr>
        <w:t xml:space="preserve"> longo decurso de tempo entre a data da transferência dos recursos e a instauração da tomada de contas especial não é suficiente para o trancamento das contas, a qual só ocorrerá após a verificação de que o lapso temporal tenha prejudicado o </w:t>
      </w:r>
      <w:r w:rsidR="00061395">
        <w:rPr>
          <w:rFonts w:eastAsia="Times New Roman"/>
          <w:b/>
          <w:bCs/>
          <w:color w:val="365F91"/>
        </w:rPr>
        <w:t xml:space="preserve">efetivo </w:t>
      </w:r>
      <w:r w:rsidR="00C17474" w:rsidRPr="00D53F75">
        <w:rPr>
          <w:rFonts w:eastAsia="Times New Roman"/>
          <w:b/>
          <w:bCs/>
          <w:color w:val="365F91"/>
        </w:rPr>
        <w:t>exercício, pelo responsável, do direito à ampla defesa e ao contraditório</w:t>
      </w:r>
      <w:r w:rsidR="003B3D79" w:rsidRPr="00D53F75">
        <w:rPr>
          <w:rFonts w:eastAsia="Times New Roman"/>
          <w:b/>
          <w:bCs/>
          <w:color w:val="365F91"/>
        </w:rPr>
        <w:t>.</w:t>
      </w:r>
    </w:p>
    <w:p w:rsidR="00971B00" w:rsidRPr="003C2D79" w:rsidRDefault="00971B00" w:rsidP="00971B00">
      <w:pPr>
        <w:pStyle w:val="Corpodetexto"/>
        <w:spacing w:before="120"/>
        <w:ind w:firstLine="1134"/>
        <w:rPr>
          <w:sz w:val="24"/>
          <w:szCs w:val="24"/>
        </w:rPr>
      </w:pPr>
      <w:r w:rsidRPr="0015170F">
        <w:rPr>
          <w:sz w:val="24"/>
          <w:szCs w:val="24"/>
        </w:rPr>
        <w:t>Conforme se extrai dos autos</w:t>
      </w:r>
      <w:r w:rsidR="001E0120">
        <w:rPr>
          <w:sz w:val="24"/>
          <w:szCs w:val="24"/>
        </w:rPr>
        <w:t xml:space="preserve"> (</w:t>
      </w:r>
      <w:r w:rsidR="001E0120" w:rsidRPr="00D24A7B">
        <w:rPr>
          <w:color w:val="FF0000"/>
          <w:sz w:val="24"/>
          <w:szCs w:val="24"/>
        </w:rPr>
        <w:t>&lt;&lt;</w:t>
      </w:r>
      <w:r w:rsidR="003A465B" w:rsidRPr="005A79A5">
        <w:rPr>
          <w:sz w:val="24"/>
          <w:szCs w:val="24"/>
        </w:rPr>
        <w:t>peça</w:t>
      </w:r>
      <w:r w:rsidR="003A465B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="003A465B">
        <w:rPr>
          <w:color w:val="FF0000"/>
          <w:sz w:val="24"/>
          <w:szCs w:val="24"/>
        </w:rPr>
        <w:t>xx</w:t>
      </w:r>
      <w:proofErr w:type="spellEnd"/>
      <w:r w:rsidR="003A465B" w:rsidRPr="005A79A5">
        <w:rPr>
          <w:sz w:val="24"/>
          <w:szCs w:val="24"/>
        </w:rPr>
        <w:t xml:space="preserve">, </w:t>
      </w:r>
      <w:r w:rsidR="001E0120" w:rsidRPr="005A79A5">
        <w:rPr>
          <w:sz w:val="24"/>
          <w:szCs w:val="24"/>
        </w:rPr>
        <w:t xml:space="preserve"> p.</w:t>
      </w:r>
      <w:proofErr w:type="gramEnd"/>
      <w:r w:rsidR="001E0120" w:rsidRPr="005A79A5">
        <w:rPr>
          <w:sz w:val="24"/>
          <w:szCs w:val="24"/>
        </w:rPr>
        <w:t xml:space="preserve"> </w:t>
      </w:r>
      <w:proofErr w:type="spellStart"/>
      <w:r w:rsidR="001E0120" w:rsidRPr="00D24A7B">
        <w:rPr>
          <w:color w:val="FF0000"/>
          <w:sz w:val="24"/>
          <w:szCs w:val="24"/>
        </w:rPr>
        <w:t>xxx-xxx</w:t>
      </w:r>
      <w:proofErr w:type="spellEnd"/>
      <w:r w:rsidR="001E0120" w:rsidRPr="00D24A7B">
        <w:rPr>
          <w:color w:val="FF0000"/>
          <w:sz w:val="24"/>
          <w:szCs w:val="24"/>
        </w:rPr>
        <w:t>&gt;&gt;</w:t>
      </w:r>
      <w:r w:rsidR="001E0120">
        <w:rPr>
          <w:sz w:val="24"/>
          <w:szCs w:val="24"/>
        </w:rPr>
        <w:t>)</w:t>
      </w:r>
      <w:r w:rsidRPr="0015170F">
        <w:rPr>
          <w:sz w:val="24"/>
          <w:szCs w:val="24"/>
        </w:rPr>
        <w:t xml:space="preserve">, </w:t>
      </w:r>
      <w:r>
        <w:rPr>
          <w:sz w:val="24"/>
          <w:szCs w:val="24"/>
        </w:rPr>
        <w:t>o</w:t>
      </w:r>
      <w:r w:rsidRPr="003C2D79">
        <w:rPr>
          <w:sz w:val="24"/>
          <w:szCs w:val="24"/>
        </w:rPr>
        <w:t xml:space="preserve">s recursos do </w:t>
      </w:r>
      <w:r>
        <w:rPr>
          <w:sz w:val="24"/>
          <w:szCs w:val="24"/>
        </w:rPr>
        <w:t xml:space="preserve">Convênio </w:t>
      </w:r>
      <w:r w:rsidR="003A465B">
        <w:rPr>
          <w:color w:val="FF0000"/>
          <w:sz w:val="24"/>
          <w:szCs w:val="24"/>
        </w:rPr>
        <w:t>&lt;&lt;</w:t>
      </w:r>
      <w:r w:rsidRPr="00B81ECF">
        <w:rPr>
          <w:color w:val="FF0000"/>
          <w:sz w:val="24"/>
          <w:szCs w:val="24"/>
        </w:rPr>
        <w:t>n</w:t>
      </w:r>
      <w:r w:rsidR="00D53F75">
        <w:rPr>
          <w:color w:val="FF0000"/>
          <w:sz w:val="24"/>
          <w:szCs w:val="24"/>
        </w:rPr>
        <w:t>úmero</w:t>
      </w:r>
      <w:r w:rsidRPr="00B81ECF">
        <w:rPr>
          <w:color w:val="FF0000"/>
          <w:sz w:val="24"/>
          <w:szCs w:val="24"/>
        </w:rPr>
        <w:t xml:space="preserve"> do convênio&gt;&gt;</w:t>
      </w:r>
      <w:r>
        <w:rPr>
          <w:sz w:val="24"/>
          <w:szCs w:val="24"/>
        </w:rPr>
        <w:t xml:space="preserve">, no montante de R$ </w:t>
      </w:r>
      <w:proofErr w:type="spellStart"/>
      <w:r w:rsidRPr="00360D52">
        <w:rPr>
          <w:color w:val="FF0000"/>
          <w:sz w:val="24"/>
          <w:szCs w:val="24"/>
        </w:rPr>
        <w:t>xxx</w:t>
      </w:r>
      <w:proofErr w:type="spellEnd"/>
      <w:r w:rsidRPr="00360D52">
        <w:rPr>
          <w:color w:val="FF0000"/>
          <w:sz w:val="24"/>
          <w:szCs w:val="24"/>
        </w:rPr>
        <w:t xml:space="preserve"> </w:t>
      </w:r>
      <w:r w:rsidR="003A465B">
        <w:rPr>
          <w:color w:val="FF0000"/>
          <w:sz w:val="24"/>
          <w:szCs w:val="24"/>
        </w:rPr>
        <w:t>&lt;&lt;valor repassado</w:t>
      </w:r>
      <w:r w:rsidRPr="003C2D79">
        <w:rPr>
          <w:color w:val="FF0000"/>
          <w:sz w:val="24"/>
          <w:szCs w:val="24"/>
        </w:rPr>
        <w:t>&gt;&gt;</w:t>
      </w:r>
      <w:r>
        <w:rPr>
          <w:sz w:val="24"/>
          <w:szCs w:val="24"/>
        </w:rPr>
        <w:t xml:space="preserve">, </w:t>
      </w:r>
      <w:r w:rsidRPr="003C2D79">
        <w:rPr>
          <w:sz w:val="24"/>
          <w:szCs w:val="24"/>
        </w:rPr>
        <w:t xml:space="preserve">foram repassados à </w:t>
      </w:r>
      <w:r w:rsidR="00B61C9C">
        <w:rPr>
          <w:sz w:val="24"/>
          <w:szCs w:val="24"/>
        </w:rPr>
        <w:t>p</w:t>
      </w:r>
      <w:r w:rsidRPr="003C2D79">
        <w:rPr>
          <w:sz w:val="24"/>
          <w:szCs w:val="24"/>
        </w:rPr>
        <w:t xml:space="preserve">refeitura em </w:t>
      </w:r>
      <w:r w:rsidR="003A465B">
        <w:rPr>
          <w:color w:val="FF0000"/>
          <w:sz w:val="24"/>
          <w:szCs w:val="24"/>
        </w:rPr>
        <w:t>&lt;&lt;</w:t>
      </w:r>
      <w:r w:rsidRPr="003C2D79">
        <w:rPr>
          <w:color w:val="FF0000"/>
          <w:sz w:val="24"/>
          <w:szCs w:val="24"/>
        </w:rPr>
        <w:t>data do repasse&gt;&gt;</w:t>
      </w:r>
      <w:r w:rsidRPr="003C2D79">
        <w:rPr>
          <w:sz w:val="24"/>
          <w:szCs w:val="24"/>
        </w:rPr>
        <w:t xml:space="preserve"> e, somente em </w:t>
      </w:r>
      <w:r w:rsidRPr="003C2D79">
        <w:rPr>
          <w:color w:val="FF0000"/>
          <w:sz w:val="24"/>
          <w:szCs w:val="24"/>
        </w:rPr>
        <w:t xml:space="preserve">&lt;&lt;data </w:t>
      </w:r>
      <w:r>
        <w:rPr>
          <w:color w:val="FF0000"/>
          <w:sz w:val="24"/>
          <w:szCs w:val="24"/>
        </w:rPr>
        <w:t>da instauração da TCE</w:t>
      </w:r>
      <w:r w:rsidRPr="003C2D79">
        <w:rPr>
          <w:color w:val="FF0000"/>
          <w:sz w:val="24"/>
          <w:szCs w:val="24"/>
        </w:rPr>
        <w:t>&gt;&gt;</w:t>
      </w:r>
      <w:r w:rsidRPr="003C2D79">
        <w:rPr>
          <w:sz w:val="24"/>
          <w:szCs w:val="24"/>
        </w:rPr>
        <w:t xml:space="preserve">, passados mais de </w:t>
      </w:r>
      <w:r w:rsidR="003A465B" w:rsidRPr="003A465B">
        <w:rPr>
          <w:color w:val="FF0000"/>
          <w:sz w:val="24"/>
          <w:szCs w:val="24"/>
        </w:rPr>
        <w:t>&lt;&lt;</w:t>
      </w:r>
      <w:proofErr w:type="spellStart"/>
      <w:r w:rsidRPr="003C2D79">
        <w:rPr>
          <w:color w:val="FF0000"/>
          <w:sz w:val="24"/>
          <w:szCs w:val="24"/>
        </w:rPr>
        <w:t>xxx</w:t>
      </w:r>
      <w:proofErr w:type="spellEnd"/>
      <w:r w:rsidR="003A465B">
        <w:rPr>
          <w:color w:val="FF0000"/>
          <w:sz w:val="24"/>
          <w:szCs w:val="24"/>
        </w:rPr>
        <w:t>&gt;&gt;</w:t>
      </w:r>
      <w:r w:rsidRPr="003C2D79">
        <w:rPr>
          <w:sz w:val="24"/>
          <w:szCs w:val="24"/>
        </w:rPr>
        <w:t xml:space="preserve"> anos de</w:t>
      </w:r>
      <w:r>
        <w:rPr>
          <w:sz w:val="24"/>
          <w:szCs w:val="24"/>
        </w:rPr>
        <w:t>sde o recebimento dos recursos</w:t>
      </w:r>
      <w:r w:rsidRPr="003C2D79">
        <w:rPr>
          <w:sz w:val="24"/>
          <w:szCs w:val="24"/>
        </w:rPr>
        <w:t xml:space="preserve">, foi </w:t>
      </w:r>
      <w:r w:rsidRPr="008F7B15">
        <w:rPr>
          <w:color w:val="FF0000"/>
          <w:sz w:val="24"/>
          <w:szCs w:val="24"/>
        </w:rPr>
        <w:t>&lt;&lt;determinada a instauração da presente TCE ou notificado</w:t>
      </w:r>
      <w:r w:rsidR="003A465B">
        <w:rPr>
          <w:color w:val="FF0000"/>
          <w:sz w:val="24"/>
          <w:szCs w:val="24"/>
        </w:rPr>
        <w:t xml:space="preserve"> o responsável, conforme o caso</w:t>
      </w:r>
      <w:r w:rsidRPr="008F7B15">
        <w:rPr>
          <w:color w:val="FF0000"/>
          <w:sz w:val="24"/>
          <w:szCs w:val="24"/>
        </w:rPr>
        <w:t>&gt;&gt;</w:t>
      </w:r>
      <w:r w:rsidRPr="003C2D79">
        <w:rPr>
          <w:sz w:val="24"/>
          <w:szCs w:val="24"/>
        </w:rPr>
        <w:t xml:space="preserve">, pelo </w:t>
      </w:r>
      <w:r w:rsidR="003A465B">
        <w:rPr>
          <w:color w:val="FF0000"/>
          <w:sz w:val="24"/>
          <w:szCs w:val="24"/>
        </w:rPr>
        <w:t>&lt;&lt;</w:t>
      </w:r>
      <w:r w:rsidRPr="003C2D79">
        <w:rPr>
          <w:color w:val="FF0000"/>
          <w:sz w:val="24"/>
          <w:szCs w:val="24"/>
        </w:rPr>
        <w:t>órgão instaurador da TCE&gt;&gt;</w:t>
      </w:r>
      <w:r w:rsidRPr="0036421B">
        <w:rPr>
          <w:sz w:val="24"/>
          <w:szCs w:val="24"/>
        </w:rPr>
        <w:t>.</w:t>
      </w:r>
    </w:p>
    <w:p w:rsidR="007350BA" w:rsidRDefault="00C17474" w:rsidP="00C17474">
      <w:pPr>
        <w:pStyle w:val="Corpodetexto"/>
        <w:spacing w:before="120"/>
        <w:ind w:firstLine="1134"/>
        <w:rPr>
          <w:sz w:val="24"/>
          <w:szCs w:val="24"/>
        </w:rPr>
      </w:pPr>
      <w:r w:rsidRPr="00C17474">
        <w:rPr>
          <w:sz w:val="24"/>
          <w:szCs w:val="24"/>
        </w:rPr>
        <w:t>No que se refere ao</w:t>
      </w:r>
      <w:r w:rsidR="00CE6145">
        <w:rPr>
          <w:sz w:val="24"/>
          <w:szCs w:val="24"/>
        </w:rPr>
        <w:t xml:space="preserve"> argumento ofertado </w:t>
      </w:r>
      <w:r w:rsidR="00626B9E">
        <w:rPr>
          <w:sz w:val="24"/>
          <w:szCs w:val="24"/>
        </w:rPr>
        <w:t xml:space="preserve">pelo responsável </w:t>
      </w:r>
      <w:r w:rsidRPr="00C17474">
        <w:rPr>
          <w:sz w:val="24"/>
          <w:szCs w:val="24"/>
        </w:rPr>
        <w:t xml:space="preserve">sobre o longo decurso de tempo entre o repasse dos recursos e a instauração desta TCE conduziria à </w:t>
      </w:r>
      <w:proofErr w:type="spellStart"/>
      <w:r w:rsidR="00CE6145">
        <w:rPr>
          <w:sz w:val="24"/>
          <w:szCs w:val="24"/>
        </w:rPr>
        <w:t>iliquidabilidade</w:t>
      </w:r>
      <w:proofErr w:type="spellEnd"/>
      <w:r w:rsidR="00CE6145">
        <w:rPr>
          <w:sz w:val="24"/>
          <w:szCs w:val="24"/>
        </w:rPr>
        <w:t xml:space="preserve"> de suas contas, </w:t>
      </w:r>
      <w:r w:rsidR="00971B00">
        <w:rPr>
          <w:sz w:val="24"/>
          <w:szCs w:val="24"/>
        </w:rPr>
        <w:t xml:space="preserve">não há como acatá-lo. </w:t>
      </w:r>
    </w:p>
    <w:p w:rsidR="00C17474" w:rsidRPr="00C17474" w:rsidRDefault="00971B00" w:rsidP="00C17474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Isso porque</w:t>
      </w:r>
      <w:r w:rsidR="00CE6145">
        <w:rPr>
          <w:sz w:val="24"/>
          <w:szCs w:val="24"/>
        </w:rPr>
        <w:t xml:space="preserve"> desde a </w:t>
      </w:r>
      <w:r w:rsidR="00C17474" w:rsidRPr="00C17474">
        <w:rPr>
          <w:sz w:val="24"/>
          <w:szCs w:val="24"/>
        </w:rPr>
        <w:t>notificaç</w:t>
      </w:r>
      <w:r w:rsidR="00CE6145">
        <w:rPr>
          <w:sz w:val="24"/>
          <w:szCs w:val="24"/>
        </w:rPr>
        <w:t>ão</w:t>
      </w:r>
      <w:r w:rsidR="00C17474" w:rsidRPr="00C17474">
        <w:rPr>
          <w:sz w:val="24"/>
          <w:szCs w:val="24"/>
        </w:rPr>
        <w:t xml:space="preserve"> do ente concedente </w:t>
      </w:r>
      <w:r w:rsidR="00CE6145">
        <w:rPr>
          <w:sz w:val="24"/>
          <w:szCs w:val="24"/>
        </w:rPr>
        <w:t>em</w:t>
      </w:r>
      <w:r w:rsidR="00CE6145" w:rsidRPr="00971B00">
        <w:rPr>
          <w:color w:val="FF0000"/>
          <w:sz w:val="24"/>
          <w:szCs w:val="24"/>
        </w:rPr>
        <w:t xml:space="preserve"> &lt;&lt;data da notificação&gt;&gt;</w:t>
      </w:r>
      <w:r w:rsidR="00C17474" w:rsidRPr="00C17474">
        <w:rPr>
          <w:sz w:val="24"/>
          <w:szCs w:val="24"/>
        </w:rPr>
        <w:t xml:space="preserve">, cobrando a apresentação da prestação de contas, o </w:t>
      </w:r>
      <w:r>
        <w:rPr>
          <w:sz w:val="24"/>
          <w:szCs w:val="24"/>
        </w:rPr>
        <w:t>r</w:t>
      </w:r>
      <w:r w:rsidR="00C17474" w:rsidRPr="00C17474">
        <w:rPr>
          <w:sz w:val="24"/>
          <w:szCs w:val="24"/>
        </w:rPr>
        <w:t xml:space="preserve">esponsável já sabia da sua situação de mora em relação ao presente </w:t>
      </w:r>
      <w:r>
        <w:rPr>
          <w:sz w:val="24"/>
          <w:szCs w:val="24"/>
        </w:rPr>
        <w:t>c</w:t>
      </w:r>
      <w:r w:rsidR="00C17474" w:rsidRPr="00C17474">
        <w:rPr>
          <w:sz w:val="24"/>
          <w:szCs w:val="24"/>
        </w:rPr>
        <w:t>onvênio e também acerca da necessidade de prestar contas dos recursos que lhe foram confiados. Não poderia ele, nesta oportunidade, beneficiar-se de sua própria atuação omissiva e negligente.</w:t>
      </w:r>
    </w:p>
    <w:p w:rsidR="00971B00" w:rsidRDefault="00C17474" w:rsidP="00971B00">
      <w:pPr>
        <w:pStyle w:val="Corpodetexto"/>
        <w:spacing w:before="120"/>
        <w:ind w:firstLine="1134"/>
        <w:rPr>
          <w:sz w:val="24"/>
          <w:szCs w:val="24"/>
        </w:rPr>
      </w:pPr>
      <w:r w:rsidRPr="00C17474">
        <w:rPr>
          <w:sz w:val="24"/>
          <w:szCs w:val="24"/>
        </w:rPr>
        <w:t>Ressalte-se que a situação em exame se distingue substancialmente daquelas em que o TCU vem considerando iliquidáveis as contas, visto que o entendimento desta Corte é o de que fica prejudicado o exercício da ampla defesa e do contraditório</w:t>
      </w:r>
      <w:r w:rsidR="00626B9E">
        <w:rPr>
          <w:sz w:val="24"/>
          <w:szCs w:val="24"/>
        </w:rPr>
        <w:t>,</w:t>
      </w:r>
      <w:r w:rsidRPr="00C17474">
        <w:rPr>
          <w:sz w:val="24"/>
          <w:szCs w:val="24"/>
        </w:rPr>
        <w:t xml:space="preserve"> mormente naqueles casos em que o </w:t>
      </w:r>
      <w:proofErr w:type="spellStart"/>
      <w:r w:rsidRPr="00C17474">
        <w:rPr>
          <w:sz w:val="24"/>
          <w:szCs w:val="24"/>
        </w:rPr>
        <w:t>ex-</w:t>
      </w:r>
      <w:r w:rsidR="00971B00">
        <w:rPr>
          <w:sz w:val="24"/>
          <w:szCs w:val="24"/>
        </w:rPr>
        <w:t>g</w:t>
      </w:r>
      <w:r w:rsidRPr="00C17474">
        <w:rPr>
          <w:sz w:val="24"/>
          <w:szCs w:val="24"/>
        </w:rPr>
        <w:t>estor</w:t>
      </w:r>
      <w:proofErr w:type="spellEnd"/>
      <w:r w:rsidRPr="00C17474">
        <w:rPr>
          <w:sz w:val="24"/>
          <w:szCs w:val="24"/>
        </w:rPr>
        <w:t xml:space="preserve"> somente vem a ser comunicado de eventuais falhas na prestação de contas muitos anos após o fato gerador, sem que antes da instauração da TCE tenha ele sido comunicado sobre essas ocorrências, por culpa do órgão/ente repassador.</w:t>
      </w:r>
      <w:r w:rsidR="00971B00" w:rsidRPr="00971B00">
        <w:rPr>
          <w:sz w:val="24"/>
          <w:szCs w:val="24"/>
        </w:rPr>
        <w:t xml:space="preserve"> </w:t>
      </w:r>
    </w:p>
    <w:p w:rsidR="00961000" w:rsidRDefault="00626B9E" w:rsidP="007350BA">
      <w:pPr>
        <w:pStyle w:val="Corpodetexto"/>
        <w:spacing w:before="120"/>
        <w:ind w:firstLine="113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Nesse contexto, a</w:t>
      </w:r>
      <w:r w:rsidR="00971B00">
        <w:rPr>
          <w:sz w:val="24"/>
          <w:szCs w:val="24"/>
        </w:rPr>
        <w:t xml:space="preserve"> jurisprudência desta Corte </w:t>
      </w:r>
      <w:r>
        <w:rPr>
          <w:sz w:val="24"/>
          <w:szCs w:val="24"/>
        </w:rPr>
        <w:t xml:space="preserve">é </w:t>
      </w:r>
      <w:r w:rsidR="00971B00">
        <w:rPr>
          <w:sz w:val="24"/>
          <w:szCs w:val="24"/>
        </w:rPr>
        <w:t>de que somente o</w:t>
      </w:r>
      <w:r w:rsidR="00971B00" w:rsidRPr="00971B00">
        <w:rPr>
          <w:sz w:val="24"/>
          <w:szCs w:val="24"/>
        </w:rPr>
        <w:t xml:space="preserve"> longo decurso de tempo entre a data da transferência dos recursos e a instauração da tomada de contas especial não é suficiente para o trancamento das contas, a qual só ocorrerá após a verificação de que o lapso temporal tenha prejudicado efetivamente o exercício, pelo responsável, do direito à ampla defesa e ao contraditório</w:t>
      </w:r>
      <w:r w:rsidR="00971B00">
        <w:rPr>
          <w:sz w:val="24"/>
          <w:szCs w:val="24"/>
        </w:rPr>
        <w:t xml:space="preserve"> (A</w:t>
      </w:r>
      <w:r w:rsidR="00971B00" w:rsidRPr="000F6B14">
        <w:rPr>
          <w:sz w:val="24"/>
          <w:szCs w:val="24"/>
        </w:rPr>
        <w:t xml:space="preserve">córdãos </w:t>
      </w:r>
      <w:r w:rsidR="007350BA">
        <w:rPr>
          <w:color w:val="000000" w:themeColor="text1"/>
          <w:sz w:val="24"/>
          <w:szCs w:val="24"/>
        </w:rPr>
        <w:t xml:space="preserve">2.024/2016-TCU-2ª Câmara, 5.539/2015-TCU-1ª Câmara, </w:t>
      </w:r>
      <w:r w:rsidR="001E340F">
        <w:rPr>
          <w:color w:val="000000" w:themeColor="text1"/>
          <w:sz w:val="24"/>
          <w:szCs w:val="24"/>
        </w:rPr>
        <w:t xml:space="preserve">2.255/2015-TCU-1ª Câmara, </w:t>
      </w:r>
      <w:r w:rsidR="007350BA">
        <w:rPr>
          <w:color w:val="000000" w:themeColor="text1"/>
          <w:sz w:val="24"/>
          <w:szCs w:val="24"/>
        </w:rPr>
        <w:t>6.239/2014-TCU-2ª Câmara</w:t>
      </w:r>
      <w:r w:rsidR="003A465B">
        <w:rPr>
          <w:color w:val="000000" w:themeColor="text1"/>
          <w:sz w:val="24"/>
          <w:szCs w:val="24"/>
        </w:rPr>
        <w:t xml:space="preserve">, </w:t>
      </w:r>
      <w:r w:rsidR="00826B1F">
        <w:rPr>
          <w:color w:val="000000" w:themeColor="text1"/>
          <w:sz w:val="24"/>
          <w:szCs w:val="24"/>
        </w:rPr>
        <w:t xml:space="preserve">7.095/2014-TCU-2ª Câmara, </w:t>
      </w:r>
      <w:r w:rsidR="003A465B">
        <w:rPr>
          <w:color w:val="000000" w:themeColor="text1"/>
          <w:sz w:val="24"/>
          <w:szCs w:val="24"/>
        </w:rPr>
        <w:t>4.709/2014-TCU-1ª Câmara, 4.580/2014-TCU-1</w:t>
      </w:r>
      <w:r w:rsidR="00826B1F">
        <w:rPr>
          <w:color w:val="000000" w:themeColor="text1"/>
          <w:sz w:val="24"/>
          <w:szCs w:val="24"/>
        </w:rPr>
        <w:t>ª Câmara</w:t>
      </w:r>
      <w:r w:rsidR="004E61F4">
        <w:rPr>
          <w:color w:val="000000" w:themeColor="text1"/>
          <w:sz w:val="24"/>
          <w:szCs w:val="24"/>
        </w:rPr>
        <w:t>).</w:t>
      </w:r>
    </w:p>
    <w:p w:rsidR="007350BA" w:rsidRDefault="007350BA" w:rsidP="007350BA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Essa linha de entendimento resguarda o reconhecimento da imprescritibilidade das ações de ressarcimento ao erário, conforme enunciado da Súmula de jurisprudência 282 deste Tribunal, exarada em consonância com o posicionamento do Supremo Tribunal Federal no bojo do Mandado de Segurança 26.210/DF, DOU de 10/10</w:t>
      </w:r>
      <w:r w:rsidR="00335E14">
        <w:rPr>
          <w:sz w:val="24"/>
          <w:szCs w:val="24"/>
        </w:rPr>
        <w:t>/</w:t>
      </w:r>
      <w:r>
        <w:rPr>
          <w:sz w:val="24"/>
          <w:szCs w:val="24"/>
        </w:rPr>
        <w:t>2008.</w:t>
      </w:r>
    </w:p>
    <w:p w:rsidR="00D74C6B" w:rsidRDefault="007350BA" w:rsidP="00C17474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Assim, ante a ausência de provas aptas a demonstrar o prejuízo à ampla defesa, as irregularidades presentes nestes autos constituem motivo suficiente para proposta de julgamento destas contas pela irregularidade, com a consequente imputação de débito e aplicação de multa</w:t>
      </w:r>
      <w:r w:rsidR="00335E14">
        <w:rPr>
          <w:sz w:val="24"/>
          <w:szCs w:val="24"/>
        </w:rPr>
        <w:t xml:space="preserve"> </w:t>
      </w:r>
      <w:r w:rsidR="00335E14" w:rsidRPr="00335E14">
        <w:rPr>
          <w:color w:val="365F91" w:themeColor="accent1" w:themeShade="BF"/>
          <w:sz w:val="24"/>
          <w:szCs w:val="24"/>
        </w:rPr>
        <w:t>(se for o caso)</w:t>
      </w:r>
      <w:r w:rsidR="00961000" w:rsidRPr="00335E14">
        <w:rPr>
          <w:color w:val="365F91" w:themeColor="accent1" w:themeShade="BF"/>
          <w:sz w:val="24"/>
          <w:szCs w:val="24"/>
        </w:rPr>
        <w:t>.</w:t>
      </w:r>
    </w:p>
    <w:p w:rsidR="001D293C" w:rsidRPr="00335E14" w:rsidRDefault="001D293C" w:rsidP="00961000">
      <w:pPr>
        <w:spacing w:before="360"/>
        <w:rPr>
          <w:rFonts w:eastAsia="Times New Roman"/>
          <w:b/>
          <w:bCs/>
          <w:color w:val="365F91" w:themeColor="accent1" w:themeShade="BF"/>
          <w:lang w:eastAsia="pt-BR"/>
        </w:rPr>
      </w:pPr>
      <w:r w:rsidRPr="00335E14">
        <w:rPr>
          <w:rFonts w:eastAsia="Times New Roman"/>
          <w:color w:val="365F91" w:themeColor="accent1" w:themeShade="BF"/>
          <w:lang w:eastAsia="pt-BR"/>
        </w:rPr>
        <w:t>Área: Processual; Tema: Arquivamento;</w:t>
      </w:r>
      <w:r w:rsidR="00335E14">
        <w:rPr>
          <w:rFonts w:eastAsia="Times New Roman"/>
          <w:color w:val="365F91" w:themeColor="accent1" w:themeShade="BF"/>
          <w:lang w:eastAsia="pt-BR"/>
        </w:rPr>
        <w:t xml:space="preserve"> subtema: Trancamento de contas</w:t>
      </w:r>
      <w:r w:rsidRPr="00335E14">
        <w:rPr>
          <w:rFonts w:eastAsia="Times New Roman"/>
          <w:color w:val="365F91" w:themeColor="accent1" w:themeShade="BF"/>
          <w:lang w:eastAsia="pt-BR"/>
        </w:rPr>
        <w:t>.</w:t>
      </w:r>
    </w:p>
    <w:sectPr w:rsidR="001D293C" w:rsidRPr="00335E14" w:rsidSect="00B6730B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27825"/>
    <w:rsid w:val="00033CC0"/>
    <w:rsid w:val="000407F1"/>
    <w:rsid w:val="00050E80"/>
    <w:rsid w:val="00061395"/>
    <w:rsid w:val="00085931"/>
    <w:rsid w:val="0009072F"/>
    <w:rsid w:val="000E5D8C"/>
    <w:rsid w:val="000F2728"/>
    <w:rsid w:val="000F6B14"/>
    <w:rsid w:val="00116DE9"/>
    <w:rsid w:val="001248BB"/>
    <w:rsid w:val="00132BBD"/>
    <w:rsid w:val="001358C5"/>
    <w:rsid w:val="001377DD"/>
    <w:rsid w:val="0015170F"/>
    <w:rsid w:val="00151BC6"/>
    <w:rsid w:val="00164318"/>
    <w:rsid w:val="001852E6"/>
    <w:rsid w:val="001C4FC1"/>
    <w:rsid w:val="001D293C"/>
    <w:rsid w:val="001D2F53"/>
    <w:rsid w:val="001D4482"/>
    <w:rsid w:val="001E0120"/>
    <w:rsid w:val="001E0802"/>
    <w:rsid w:val="001E340F"/>
    <w:rsid w:val="001E5C42"/>
    <w:rsid w:val="001F40E9"/>
    <w:rsid w:val="00201E0D"/>
    <w:rsid w:val="00211D7E"/>
    <w:rsid w:val="002316E3"/>
    <w:rsid w:val="00275471"/>
    <w:rsid w:val="00275A13"/>
    <w:rsid w:val="0027671B"/>
    <w:rsid w:val="002778B1"/>
    <w:rsid w:val="00294C1B"/>
    <w:rsid w:val="002971A5"/>
    <w:rsid w:val="002A029F"/>
    <w:rsid w:val="002B09B3"/>
    <w:rsid w:val="002B18C9"/>
    <w:rsid w:val="002B6C13"/>
    <w:rsid w:val="002E0611"/>
    <w:rsid w:val="002E794A"/>
    <w:rsid w:val="003129F9"/>
    <w:rsid w:val="00325A1D"/>
    <w:rsid w:val="00335E14"/>
    <w:rsid w:val="0033627F"/>
    <w:rsid w:val="00340B7A"/>
    <w:rsid w:val="003627A6"/>
    <w:rsid w:val="0036421B"/>
    <w:rsid w:val="003A465B"/>
    <w:rsid w:val="003A5AEE"/>
    <w:rsid w:val="003B3D79"/>
    <w:rsid w:val="003C2D79"/>
    <w:rsid w:val="00400667"/>
    <w:rsid w:val="004072A5"/>
    <w:rsid w:val="00410C6A"/>
    <w:rsid w:val="004206BC"/>
    <w:rsid w:val="00425F78"/>
    <w:rsid w:val="00464E93"/>
    <w:rsid w:val="00482055"/>
    <w:rsid w:val="0049709E"/>
    <w:rsid w:val="004A1051"/>
    <w:rsid w:val="004C3066"/>
    <w:rsid w:val="004D4469"/>
    <w:rsid w:val="004D6E2E"/>
    <w:rsid w:val="004E61F4"/>
    <w:rsid w:val="00502DE1"/>
    <w:rsid w:val="00545403"/>
    <w:rsid w:val="0055601C"/>
    <w:rsid w:val="00573667"/>
    <w:rsid w:val="00583018"/>
    <w:rsid w:val="00584EB5"/>
    <w:rsid w:val="005A79A5"/>
    <w:rsid w:val="005D1B39"/>
    <w:rsid w:val="00620779"/>
    <w:rsid w:val="00626B9E"/>
    <w:rsid w:val="00642476"/>
    <w:rsid w:val="006555B6"/>
    <w:rsid w:val="006659E6"/>
    <w:rsid w:val="006822E3"/>
    <w:rsid w:val="006831BF"/>
    <w:rsid w:val="006A2D80"/>
    <w:rsid w:val="006A5BC1"/>
    <w:rsid w:val="006C11AD"/>
    <w:rsid w:val="006E40DC"/>
    <w:rsid w:val="00727046"/>
    <w:rsid w:val="007350BA"/>
    <w:rsid w:val="00765968"/>
    <w:rsid w:val="00774940"/>
    <w:rsid w:val="007770CA"/>
    <w:rsid w:val="00786247"/>
    <w:rsid w:val="00787DF6"/>
    <w:rsid w:val="00790051"/>
    <w:rsid w:val="00791438"/>
    <w:rsid w:val="00796885"/>
    <w:rsid w:val="007A03C7"/>
    <w:rsid w:val="007A1A3E"/>
    <w:rsid w:val="007C133C"/>
    <w:rsid w:val="007E2D0C"/>
    <w:rsid w:val="007E64BE"/>
    <w:rsid w:val="007F72B4"/>
    <w:rsid w:val="008031EA"/>
    <w:rsid w:val="00826B1F"/>
    <w:rsid w:val="0083223F"/>
    <w:rsid w:val="00843DD0"/>
    <w:rsid w:val="00845D19"/>
    <w:rsid w:val="00854BAF"/>
    <w:rsid w:val="0085729F"/>
    <w:rsid w:val="00872FA6"/>
    <w:rsid w:val="008C20EA"/>
    <w:rsid w:val="008C75AA"/>
    <w:rsid w:val="008D5A38"/>
    <w:rsid w:val="008F2F95"/>
    <w:rsid w:val="008F7B15"/>
    <w:rsid w:val="00902C79"/>
    <w:rsid w:val="00907740"/>
    <w:rsid w:val="0091242D"/>
    <w:rsid w:val="0092498D"/>
    <w:rsid w:val="00941B97"/>
    <w:rsid w:val="009439E0"/>
    <w:rsid w:val="00961000"/>
    <w:rsid w:val="00967084"/>
    <w:rsid w:val="00971B00"/>
    <w:rsid w:val="009C7415"/>
    <w:rsid w:val="009D75A7"/>
    <w:rsid w:val="00A02103"/>
    <w:rsid w:val="00A06FAB"/>
    <w:rsid w:val="00A12954"/>
    <w:rsid w:val="00A21D66"/>
    <w:rsid w:val="00A24285"/>
    <w:rsid w:val="00A42CE1"/>
    <w:rsid w:val="00A51AE2"/>
    <w:rsid w:val="00A5541F"/>
    <w:rsid w:val="00A663FC"/>
    <w:rsid w:val="00A919F2"/>
    <w:rsid w:val="00A967ED"/>
    <w:rsid w:val="00AB3691"/>
    <w:rsid w:val="00B5537E"/>
    <w:rsid w:val="00B61C9C"/>
    <w:rsid w:val="00B6730B"/>
    <w:rsid w:val="00B81ECF"/>
    <w:rsid w:val="00BA15C9"/>
    <w:rsid w:val="00BB58D3"/>
    <w:rsid w:val="00BC4CF2"/>
    <w:rsid w:val="00BE0D2F"/>
    <w:rsid w:val="00BE4EB9"/>
    <w:rsid w:val="00BE5DF0"/>
    <w:rsid w:val="00C05461"/>
    <w:rsid w:val="00C11AC3"/>
    <w:rsid w:val="00C17474"/>
    <w:rsid w:val="00C21498"/>
    <w:rsid w:val="00C306EC"/>
    <w:rsid w:val="00C61AA2"/>
    <w:rsid w:val="00C83EBC"/>
    <w:rsid w:val="00CC1AB3"/>
    <w:rsid w:val="00CC4EA4"/>
    <w:rsid w:val="00CC4FB0"/>
    <w:rsid w:val="00CD60F9"/>
    <w:rsid w:val="00CE6145"/>
    <w:rsid w:val="00D20562"/>
    <w:rsid w:val="00D35111"/>
    <w:rsid w:val="00D53F75"/>
    <w:rsid w:val="00D56B6F"/>
    <w:rsid w:val="00D6768B"/>
    <w:rsid w:val="00D74C6B"/>
    <w:rsid w:val="00D77055"/>
    <w:rsid w:val="00DB3E33"/>
    <w:rsid w:val="00DB50A8"/>
    <w:rsid w:val="00DD2501"/>
    <w:rsid w:val="00DE2D91"/>
    <w:rsid w:val="00DF669D"/>
    <w:rsid w:val="00E2290E"/>
    <w:rsid w:val="00E44796"/>
    <w:rsid w:val="00E4574C"/>
    <w:rsid w:val="00E76E5A"/>
    <w:rsid w:val="00F00866"/>
    <w:rsid w:val="00F04CF5"/>
    <w:rsid w:val="00F12BEB"/>
    <w:rsid w:val="00F43727"/>
    <w:rsid w:val="00F4770E"/>
    <w:rsid w:val="00F5038D"/>
    <w:rsid w:val="00F7673D"/>
    <w:rsid w:val="00F84B4C"/>
    <w:rsid w:val="00F850A3"/>
    <w:rsid w:val="00FA7A88"/>
    <w:rsid w:val="00FD0D35"/>
    <w:rsid w:val="00FD1CBF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9E380-60A3-4BED-A5B2-D02C1F14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0B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B6730B"/>
  </w:style>
  <w:style w:type="character" w:customStyle="1" w:styleId="BodyTextChar">
    <w:name w:val="Body Text Char"/>
    <w:rsid w:val="00B6730B"/>
    <w:rPr>
      <w:rFonts w:eastAsia="Times New Roman"/>
    </w:rPr>
  </w:style>
  <w:style w:type="character" w:styleId="Hyperlink">
    <w:name w:val="Hyperlink"/>
    <w:semiHidden/>
    <w:rsid w:val="00B6730B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B6730B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6730B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B6730B"/>
    <w:rPr>
      <w:rFonts w:cs="Tahoma"/>
    </w:rPr>
  </w:style>
  <w:style w:type="paragraph" w:customStyle="1" w:styleId="Legenda1">
    <w:name w:val="Legenda1"/>
    <w:basedOn w:val="Normal"/>
    <w:rsid w:val="00B6730B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B6730B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4EB9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5A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A1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529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6</cp:revision>
  <cp:lastPrinted>2016-03-14T20:55:00Z</cp:lastPrinted>
  <dcterms:created xsi:type="dcterms:W3CDTF">2016-03-17T21:40:00Z</dcterms:created>
  <dcterms:modified xsi:type="dcterms:W3CDTF">2016-03-28T19:58:00Z</dcterms:modified>
</cp:coreProperties>
</file>