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0B220" w14:textId="6A166F0F" w:rsidR="005C6AAB" w:rsidRPr="005C6AAB" w:rsidRDefault="005C6AAB" w:rsidP="005C6AAB">
      <w:pPr>
        <w:jc w:val="right"/>
        <w:rPr>
          <w:b/>
        </w:rPr>
      </w:pPr>
      <w:r w:rsidRPr="005C6AAB">
        <w:rPr>
          <w:b/>
        </w:rPr>
        <w:t>Revisado em 21/3/2016</w:t>
      </w:r>
    </w:p>
    <w:p w14:paraId="453F71AE" w14:textId="774003CD" w:rsidR="00A24285" w:rsidRPr="001A20CD" w:rsidRDefault="00100277" w:rsidP="00A24285">
      <w:r>
        <w:t xml:space="preserve">Tema </w:t>
      </w:r>
      <w:r w:rsidR="0055601C" w:rsidRPr="001A20CD">
        <w:t>1</w:t>
      </w:r>
      <w:bookmarkStart w:id="0" w:name="_GoBack"/>
      <w:bookmarkEnd w:id="0"/>
      <w:r w:rsidR="00015DA1">
        <w:t>6</w:t>
      </w:r>
      <w:r w:rsidR="00DD7C40" w:rsidRPr="001A20CD">
        <w:t xml:space="preserve"> </w:t>
      </w:r>
      <w:r w:rsidR="0052562A">
        <w:noBreakHyphen/>
      </w:r>
      <w:r w:rsidR="00DD7C40" w:rsidRPr="001A20CD">
        <w:t xml:space="preserve"> </w:t>
      </w:r>
      <w:r w:rsidR="00636082" w:rsidRPr="001A20CD">
        <w:t>Vício</w:t>
      </w:r>
      <w:r w:rsidR="00FE5849">
        <w:t>s na fase interna da tomada de contas especial</w:t>
      </w:r>
      <w:r w:rsidR="0055601C" w:rsidRPr="001A20CD">
        <w:t>.</w:t>
      </w:r>
    </w:p>
    <w:p w14:paraId="40D79657" w14:textId="77777777" w:rsidR="00BB58D3" w:rsidRDefault="0039040A" w:rsidP="004A6F6D">
      <w:pPr>
        <w:spacing w:before="360" w:after="360"/>
        <w:rPr>
          <w:rFonts w:eastAsia="Times New Roman"/>
          <w:b/>
          <w:bCs/>
          <w:color w:val="365F91"/>
        </w:rPr>
      </w:pPr>
      <w:r w:rsidRPr="001A20CD">
        <w:rPr>
          <w:rFonts w:eastAsia="Times New Roman"/>
          <w:b/>
          <w:bCs/>
          <w:color w:val="365F91"/>
        </w:rPr>
        <w:t xml:space="preserve">A falta de notificação </w:t>
      </w:r>
      <w:r w:rsidR="00636082" w:rsidRPr="001A20CD">
        <w:rPr>
          <w:rFonts w:eastAsia="Times New Roman"/>
          <w:b/>
          <w:bCs/>
          <w:color w:val="365F91"/>
        </w:rPr>
        <w:t xml:space="preserve">na fase interna da </w:t>
      </w:r>
      <w:r w:rsidR="00075989">
        <w:rPr>
          <w:rFonts w:eastAsia="Times New Roman"/>
          <w:b/>
          <w:bCs/>
          <w:color w:val="365F91"/>
        </w:rPr>
        <w:t>tomada de contas especial</w:t>
      </w:r>
      <w:r w:rsidR="00636082" w:rsidRPr="001A20CD">
        <w:rPr>
          <w:rFonts w:eastAsia="Times New Roman"/>
          <w:b/>
          <w:bCs/>
          <w:color w:val="365F91"/>
        </w:rPr>
        <w:t xml:space="preserve"> não invalida os atos processuais adotados p</w:t>
      </w:r>
      <w:r w:rsidR="00075989">
        <w:rPr>
          <w:rFonts w:eastAsia="Times New Roman"/>
          <w:b/>
          <w:bCs/>
          <w:color w:val="365F91"/>
        </w:rPr>
        <w:t>or esta Corte</w:t>
      </w:r>
      <w:r w:rsidR="00636082" w:rsidRPr="001A20CD">
        <w:rPr>
          <w:rFonts w:eastAsia="Times New Roman"/>
          <w:b/>
          <w:bCs/>
          <w:color w:val="365F91"/>
        </w:rPr>
        <w:t xml:space="preserve">, pois </w:t>
      </w:r>
      <w:r w:rsidR="006B28F1" w:rsidRPr="001A20CD">
        <w:rPr>
          <w:rFonts w:eastAsia="Times New Roman"/>
          <w:b/>
          <w:bCs/>
          <w:color w:val="365F91"/>
        </w:rPr>
        <w:t xml:space="preserve">somente </w:t>
      </w:r>
      <w:r w:rsidR="006E4E62">
        <w:rPr>
          <w:rFonts w:eastAsia="Times New Roman"/>
          <w:b/>
          <w:bCs/>
          <w:color w:val="365F91"/>
        </w:rPr>
        <w:t xml:space="preserve">em sua </w:t>
      </w:r>
      <w:r w:rsidR="00636082" w:rsidRPr="001A20CD">
        <w:rPr>
          <w:rFonts w:eastAsia="Times New Roman"/>
          <w:b/>
          <w:bCs/>
          <w:color w:val="365F91"/>
        </w:rPr>
        <w:t xml:space="preserve">fase externa, </w:t>
      </w:r>
      <w:r w:rsidR="006B28F1" w:rsidRPr="001A20CD">
        <w:rPr>
          <w:rFonts w:eastAsia="Times New Roman"/>
          <w:b/>
          <w:bCs/>
          <w:color w:val="365F91"/>
        </w:rPr>
        <w:t>a qual</w:t>
      </w:r>
      <w:r w:rsidR="00636082" w:rsidRPr="001A20CD">
        <w:rPr>
          <w:rFonts w:eastAsia="Times New Roman"/>
          <w:b/>
          <w:bCs/>
          <w:color w:val="365F91"/>
        </w:rPr>
        <w:t xml:space="preserve"> ocorre no âmbito do TCU, </w:t>
      </w:r>
      <w:r w:rsidR="006B28F1" w:rsidRPr="001A20CD">
        <w:rPr>
          <w:rFonts w:eastAsia="Times New Roman"/>
          <w:b/>
          <w:bCs/>
          <w:color w:val="365F91"/>
        </w:rPr>
        <w:t>torna</w:t>
      </w:r>
      <w:r w:rsidR="008E53BA">
        <w:rPr>
          <w:rFonts w:eastAsia="Times New Roman"/>
          <w:b/>
          <w:bCs/>
          <w:color w:val="365F91"/>
        </w:rPr>
        <w:t>-se</w:t>
      </w:r>
      <w:r w:rsidR="006B28F1" w:rsidRPr="001A20CD">
        <w:rPr>
          <w:rFonts w:eastAsia="Times New Roman"/>
          <w:b/>
          <w:bCs/>
          <w:color w:val="365F91"/>
        </w:rPr>
        <w:t xml:space="preserve"> obrigatória a observ</w:t>
      </w:r>
      <w:r w:rsidR="006E4E62">
        <w:rPr>
          <w:rFonts w:eastAsia="Times New Roman"/>
          <w:b/>
          <w:bCs/>
          <w:color w:val="365F91"/>
        </w:rPr>
        <w:t xml:space="preserve">ância </w:t>
      </w:r>
      <w:r w:rsidR="006B28F1" w:rsidRPr="001A20CD">
        <w:rPr>
          <w:rFonts w:eastAsia="Times New Roman"/>
          <w:b/>
          <w:bCs/>
          <w:color w:val="365F91"/>
        </w:rPr>
        <w:t>d</w:t>
      </w:r>
      <w:r w:rsidR="00636082" w:rsidRPr="001A20CD">
        <w:rPr>
          <w:rFonts w:eastAsia="Times New Roman"/>
          <w:b/>
          <w:bCs/>
          <w:color w:val="365F91"/>
        </w:rPr>
        <w:t xml:space="preserve">os princípios da </w:t>
      </w:r>
      <w:r w:rsidR="00D05F7E" w:rsidRPr="001A20CD">
        <w:rPr>
          <w:rFonts w:eastAsia="Times New Roman"/>
          <w:b/>
          <w:bCs/>
          <w:color w:val="365F91"/>
        </w:rPr>
        <w:t>ampla defesa e do contraditório</w:t>
      </w:r>
      <w:r w:rsidR="00DD7C40" w:rsidRPr="001A20CD">
        <w:rPr>
          <w:rFonts w:eastAsia="Times New Roman"/>
          <w:b/>
          <w:bCs/>
          <w:color w:val="365F91"/>
        </w:rPr>
        <w:t>.</w:t>
      </w:r>
    </w:p>
    <w:p w14:paraId="7023E22B" w14:textId="23B4D2D1" w:rsidR="00971B00" w:rsidRPr="003C2D79" w:rsidRDefault="00971B00" w:rsidP="00971B00">
      <w:pPr>
        <w:pStyle w:val="Corpodetexto"/>
        <w:spacing w:before="120"/>
        <w:ind w:firstLine="1134"/>
        <w:rPr>
          <w:sz w:val="24"/>
          <w:szCs w:val="24"/>
        </w:rPr>
      </w:pPr>
      <w:r w:rsidRPr="0015170F">
        <w:rPr>
          <w:sz w:val="24"/>
          <w:szCs w:val="24"/>
        </w:rPr>
        <w:t xml:space="preserve">Conforme se extrai dos autos, </w:t>
      </w:r>
      <w:r>
        <w:rPr>
          <w:sz w:val="24"/>
          <w:szCs w:val="24"/>
        </w:rPr>
        <w:t>o</w:t>
      </w:r>
      <w:r w:rsidRPr="003C2D79">
        <w:rPr>
          <w:sz w:val="24"/>
          <w:szCs w:val="24"/>
        </w:rPr>
        <w:t xml:space="preserve">s recursos do </w:t>
      </w:r>
      <w:r>
        <w:rPr>
          <w:sz w:val="24"/>
          <w:szCs w:val="24"/>
        </w:rPr>
        <w:t xml:space="preserve">Convênio </w:t>
      </w:r>
      <w:r w:rsidRPr="00B81ECF">
        <w:rPr>
          <w:color w:val="FF0000"/>
          <w:sz w:val="24"/>
          <w:szCs w:val="24"/>
        </w:rPr>
        <w:t>&lt;&lt;n</w:t>
      </w:r>
      <w:r w:rsidR="001A20CD">
        <w:rPr>
          <w:color w:val="FF0000"/>
          <w:sz w:val="24"/>
          <w:szCs w:val="24"/>
        </w:rPr>
        <w:t xml:space="preserve">úmero </w:t>
      </w:r>
      <w:r w:rsidRPr="00B81ECF">
        <w:rPr>
          <w:color w:val="FF0000"/>
          <w:sz w:val="24"/>
          <w:szCs w:val="24"/>
        </w:rPr>
        <w:t>do convênio&gt;&gt;</w:t>
      </w:r>
      <w:r>
        <w:rPr>
          <w:sz w:val="24"/>
          <w:szCs w:val="24"/>
        </w:rPr>
        <w:t xml:space="preserve">, no montante de R$ </w:t>
      </w:r>
      <w:proofErr w:type="spellStart"/>
      <w:r w:rsidRPr="00360D52">
        <w:rPr>
          <w:color w:val="FF0000"/>
          <w:sz w:val="24"/>
          <w:szCs w:val="24"/>
        </w:rPr>
        <w:t>xxx</w:t>
      </w:r>
      <w:proofErr w:type="spellEnd"/>
      <w:r w:rsidRPr="00360D52">
        <w:rPr>
          <w:color w:val="FF0000"/>
          <w:sz w:val="24"/>
          <w:szCs w:val="24"/>
        </w:rPr>
        <w:t xml:space="preserve"> </w:t>
      </w:r>
      <w:r w:rsidRPr="003C2D79">
        <w:rPr>
          <w:color w:val="FF0000"/>
          <w:sz w:val="24"/>
          <w:szCs w:val="24"/>
        </w:rPr>
        <w:t>&lt;&lt;</w:t>
      </w:r>
      <w:r w:rsidR="005036B5">
        <w:rPr>
          <w:color w:val="FF0000"/>
          <w:sz w:val="24"/>
          <w:szCs w:val="24"/>
        </w:rPr>
        <w:t>valor repassado</w:t>
      </w:r>
      <w:r w:rsidRPr="003C2D79">
        <w:rPr>
          <w:color w:val="FF0000"/>
          <w:sz w:val="24"/>
          <w:szCs w:val="24"/>
        </w:rPr>
        <w:t>&gt;&gt;</w:t>
      </w:r>
      <w:r>
        <w:rPr>
          <w:sz w:val="24"/>
          <w:szCs w:val="24"/>
        </w:rPr>
        <w:t xml:space="preserve">, </w:t>
      </w:r>
      <w:r w:rsidRPr="003C2D79">
        <w:rPr>
          <w:sz w:val="24"/>
          <w:szCs w:val="24"/>
        </w:rPr>
        <w:t xml:space="preserve">foram repassados à </w:t>
      </w:r>
      <w:r w:rsidR="00BB39A7">
        <w:rPr>
          <w:sz w:val="24"/>
          <w:szCs w:val="24"/>
        </w:rPr>
        <w:t>p</w:t>
      </w:r>
      <w:r w:rsidRPr="003C2D79">
        <w:rPr>
          <w:sz w:val="24"/>
          <w:szCs w:val="24"/>
        </w:rPr>
        <w:t xml:space="preserve">refeitura em </w:t>
      </w:r>
      <w:proofErr w:type="spellStart"/>
      <w:r w:rsidRPr="003C2D79">
        <w:rPr>
          <w:color w:val="FF0000"/>
          <w:sz w:val="24"/>
          <w:szCs w:val="24"/>
        </w:rPr>
        <w:t>xxx</w:t>
      </w:r>
      <w:proofErr w:type="spellEnd"/>
      <w:r w:rsidRPr="003C2D79">
        <w:rPr>
          <w:color w:val="FF0000"/>
          <w:sz w:val="24"/>
          <w:szCs w:val="24"/>
        </w:rPr>
        <w:t xml:space="preserve"> &lt;&lt;data do repasse&gt;&gt;</w:t>
      </w:r>
      <w:r w:rsidRPr="003C2D79">
        <w:rPr>
          <w:sz w:val="24"/>
          <w:szCs w:val="24"/>
        </w:rPr>
        <w:t>.</w:t>
      </w:r>
      <w:r w:rsidR="00D34ACB">
        <w:rPr>
          <w:sz w:val="24"/>
          <w:szCs w:val="24"/>
        </w:rPr>
        <w:t xml:space="preserve"> Na execução da avença foram </w:t>
      </w:r>
      <w:r w:rsidR="005036B5">
        <w:rPr>
          <w:sz w:val="24"/>
          <w:szCs w:val="24"/>
        </w:rPr>
        <w:t>verificadas as seguintes irregularidades</w:t>
      </w:r>
      <w:r w:rsidR="00F06F15">
        <w:rPr>
          <w:sz w:val="24"/>
          <w:szCs w:val="24"/>
        </w:rPr>
        <w:t xml:space="preserve"> </w:t>
      </w:r>
      <w:r w:rsidR="00C16DAF" w:rsidRPr="004A6F6D">
        <w:rPr>
          <w:color w:val="FF0000"/>
          <w:sz w:val="24"/>
          <w:szCs w:val="24"/>
        </w:rPr>
        <w:t>&lt;</w:t>
      </w:r>
      <w:r w:rsidR="00075989" w:rsidRPr="004A6F6D">
        <w:rPr>
          <w:color w:val="FF0000"/>
          <w:sz w:val="24"/>
          <w:szCs w:val="24"/>
        </w:rPr>
        <w:t>&lt;indicar as irregularidades identificadas e os respectivos valores que importam mensuração de débito&gt;&gt;</w:t>
      </w:r>
      <w:r w:rsidR="005036B5">
        <w:rPr>
          <w:sz w:val="24"/>
          <w:szCs w:val="24"/>
        </w:rPr>
        <w:t>.</w:t>
      </w:r>
    </w:p>
    <w:p w14:paraId="2BA87127" w14:textId="77777777" w:rsidR="00636082" w:rsidRPr="00636082" w:rsidRDefault="002D6A57" w:rsidP="002D6A57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Citado, o </w:t>
      </w:r>
      <w:r w:rsidRPr="00636082">
        <w:rPr>
          <w:sz w:val="24"/>
          <w:szCs w:val="24"/>
        </w:rPr>
        <w:t>ex-</w:t>
      </w:r>
      <w:r w:rsidR="001A20CD">
        <w:rPr>
          <w:sz w:val="24"/>
          <w:szCs w:val="24"/>
        </w:rPr>
        <w:t>p</w:t>
      </w:r>
      <w:r w:rsidRPr="00636082">
        <w:rPr>
          <w:sz w:val="24"/>
          <w:szCs w:val="24"/>
        </w:rPr>
        <w:t>refeito</w:t>
      </w:r>
      <w:r>
        <w:rPr>
          <w:sz w:val="24"/>
          <w:szCs w:val="24"/>
        </w:rPr>
        <w:t xml:space="preserve"> alegou</w:t>
      </w:r>
      <w:r w:rsidR="00636082" w:rsidRPr="00636082">
        <w:rPr>
          <w:sz w:val="24"/>
          <w:szCs w:val="24"/>
        </w:rPr>
        <w:t xml:space="preserve"> que </w:t>
      </w:r>
      <w:r w:rsidRPr="00636082">
        <w:rPr>
          <w:sz w:val="24"/>
          <w:szCs w:val="24"/>
        </w:rPr>
        <w:t xml:space="preserve">teria havido cerceamento de defesa, </w:t>
      </w:r>
      <w:r>
        <w:rPr>
          <w:sz w:val="24"/>
          <w:szCs w:val="24"/>
        </w:rPr>
        <w:t xml:space="preserve">já </w:t>
      </w:r>
      <w:r w:rsidRPr="00636082">
        <w:rPr>
          <w:sz w:val="24"/>
          <w:szCs w:val="24"/>
        </w:rPr>
        <w:t xml:space="preserve">que não teria ocorrido a </w:t>
      </w:r>
      <w:r w:rsidR="005036B5" w:rsidRPr="00636082">
        <w:rPr>
          <w:sz w:val="24"/>
          <w:szCs w:val="24"/>
        </w:rPr>
        <w:t xml:space="preserve">imprescindível </w:t>
      </w:r>
      <w:r w:rsidR="005036B5">
        <w:rPr>
          <w:sz w:val="24"/>
          <w:szCs w:val="24"/>
        </w:rPr>
        <w:t>notificação na</w:t>
      </w:r>
      <w:r>
        <w:rPr>
          <w:sz w:val="24"/>
          <w:szCs w:val="24"/>
        </w:rPr>
        <w:t xml:space="preserve"> fase interna da </w:t>
      </w:r>
      <w:r w:rsidR="001A20CD">
        <w:rPr>
          <w:sz w:val="24"/>
          <w:szCs w:val="24"/>
        </w:rPr>
        <w:t>t</w:t>
      </w:r>
      <w:r>
        <w:rPr>
          <w:sz w:val="24"/>
          <w:szCs w:val="24"/>
        </w:rPr>
        <w:t xml:space="preserve">omada de </w:t>
      </w:r>
      <w:r w:rsidR="001A20CD">
        <w:rPr>
          <w:sz w:val="24"/>
          <w:szCs w:val="24"/>
        </w:rPr>
        <w:t>c</w:t>
      </w:r>
      <w:r>
        <w:rPr>
          <w:sz w:val="24"/>
          <w:szCs w:val="24"/>
        </w:rPr>
        <w:t xml:space="preserve">ontas </w:t>
      </w:r>
      <w:r w:rsidR="001A20CD">
        <w:rPr>
          <w:sz w:val="24"/>
          <w:szCs w:val="24"/>
        </w:rPr>
        <w:t>e</w:t>
      </w:r>
      <w:r>
        <w:rPr>
          <w:sz w:val="24"/>
          <w:szCs w:val="24"/>
        </w:rPr>
        <w:t xml:space="preserve">special, </w:t>
      </w:r>
      <w:r w:rsidR="0012309D">
        <w:rPr>
          <w:sz w:val="24"/>
          <w:szCs w:val="24"/>
        </w:rPr>
        <w:t xml:space="preserve">ocasião na qual </w:t>
      </w:r>
      <w:r>
        <w:rPr>
          <w:sz w:val="24"/>
          <w:szCs w:val="24"/>
        </w:rPr>
        <w:t>ainda tramitava no âmbito do órgão repassador</w:t>
      </w:r>
      <w:r w:rsidR="00636082" w:rsidRPr="00636082">
        <w:rPr>
          <w:sz w:val="24"/>
          <w:szCs w:val="24"/>
        </w:rPr>
        <w:t>.</w:t>
      </w:r>
    </w:p>
    <w:p w14:paraId="78099D70" w14:textId="77777777" w:rsidR="00646EAC" w:rsidRDefault="002D6A57" w:rsidP="00636082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Cabe esclarecer que na fase interna da </w:t>
      </w:r>
      <w:r w:rsidR="006E4E62">
        <w:rPr>
          <w:sz w:val="24"/>
          <w:szCs w:val="24"/>
        </w:rPr>
        <w:t xml:space="preserve">tomada de contas </w:t>
      </w:r>
      <w:r w:rsidR="005036B5">
        <w:rPr>
          <w:sz w:val="24"/>
          <w:szCs w:val="24"/>
        </w:rPr>
        <w:t xml:space="preserve">especial </w:t>
      </w:r>
      <w:r w:rsidR="005036B5" w:rsidRPr="00636082">
        <w:rPr>
          <w:sz w:val="24"/>
          <w:szCs w:val="24"/>
        </w:rPr>
        <w:t>ainda</w:t>
      </w:r>
      <w:r w:rsidRPr="00636082">
        <w:rPr>
          <w:sz w:val="24"/>
          <w:szCs w:val="24"/>
        </w:rPr>
        <w:t xml:space="preserve"> não </w:t>
      </w:r>
      <w:r>
        <w:rPr>
          <w:sz w:val="24"/>
          <w:szCs w:val="24"/>
        </w:rPr>
        <w:t>se tem</w:t>
      </w:r>
      <w:r w:rsidR="00646EAC">
        <w:rPr>
          <w:sz w:val="24"/>
          <w:szCs w:val="24"/>
        </w:rPr>
        <w:t xml:space="preserve"> propriamente processo</w:t>
      </w:r>
      <w:r w:rsidR="00CF62F5">
        <w:rPr>
          <w:sz w:val="24"/>
          <w:szCs w:val="24"/>
        </w:rPr>
        <w:t xml:space="preserve"> caracterizado por lide</w:t>
      </w:r>
      <w:r w:rsidR="00646EAC" w:rsidRPr="00636082">
        <w:rPr>
          <w:sz w:val="24"/>
          <w:szCs w:val="24"/>
        </w:rPr>
        <w:t>, mas</w:t>
      </w:r>
      <w:r w:rsidR="00C16DAF">
        <w:rPr>
          <w:sz w:val="24"/>
          <w:szCs w:val="24"/>
        </w:rPr>
        <w:t>,</w:t>
      </w:r>
      <w:r w:rsidRPr="00636082">
        <w:rPr>
          <w:sz w:val="24"/>
          <w:szCs w:val="24"/>
        </w:rPr>
        <w:t xml:space="preserve"> </w:t>
      </w:r>
      <w:r w:rsidR="00646EAC">
        <w:rPr>
          <w:sz w:val="24"/>
          <w:szCs w:val="24"/>
        </w:rPr>
        <w:t>sim</w:t>
      </w:r>
      <w:r w:rsidR="00C16DAF">
        <w:rPr>
          <w:sz w:val="24"/>
          <w:szCs w:val="24"/>
        </w:rPr>
        <w:t>,</w:t>
      </w:r>
      <w:r w:rsidR="00646EAC">
        <w:rPr>
          <w:sz w:val="24"/>
          <w:szCs w:val="24"/>
        </w:rPr>
        <w:t xml:space="preserve"> </w:t>
      </w:r>
      <w:r w:rsidRPr="00636082">
        <w:rPr>
          <w:sz w:val="24"/>
          <w:szCs w:val="24"/>
        </w:rPr>
        <w:t xml:space="preserve">procedimento de </w:t>
      </w:r>
      <w:r w:rsidR="00CF62F5">
        <w:rPr>
          <w:sz w:val="24"/>
          <w:szCs w:val="24"/>
        </w:rPr>
        <w:t>apuração administrativa</w:t>
      </w:r>
      <w:r w:rsidR="00646EAC">
        <w:rPr>
          <w:sz w:val="24"/>
          <w:szCs w:val="24"/>
        </w:rPr>
        <w:t xml:space="preserve">. Na fase inicial, embora haja a previsão de </w:t>
      </w:r>
      <w:r w:rsidR="00636082" w:rsidRPr="00636082">
        <w:rPr>
          <w:sz w:val="24"/>
          <w:szCs w:val="24"/>
        </w:rPr>
        <w:t xml:space="preserve">notificação </w:t>
      </w:r>
      <w:r>
        <w:rPr>
          <w:sz w:val="24"/>
          <w:szCs w:val="24"/>
        </w:rPr>
        <w:t xml:space="preserve">para que o responsável traga aos autos os documentos que entenda úteis para o esclarecimento </w:t>
      </w:r>
      <w:r w:rsidR="00646EAC">
        <w:rPr>
          <w:sz w:val="24"/>
          <w:szCs w:val="24"/>
        </w:rPr>
        <w:t>da situação,</w:t>
      </w:r>
      <w:r>
        <w:rPr>
          <w:sz w:val="24"/>
          <w:szCs w:val="24"/>
        </w:rPr>
        <w:t xml:space="preserve"> </w:t>
      </w:r>
      <w:r w:rsidR="00CF62F5">
        <w:rPr>
          <w:sz w:val="24"/>
          <w:szCs w:val="24"/>
        </w:rPr>
        <w:t xml:space="preserve">a falta de sua realização </w:t>
      </w:r>
      <w:r w:rsidRPr="00636082">
        <w:rPr>
          <w:sz w:val="24"/>
          <w:szCs w:val="24"/>
        </w:rPr>
        <w:t>não invalida os atos processuais adotad</w:t>
      </w:r>
      <w:r>
        <w:rPr>
          <w:sz w:val="24"/>
          <w:szCs w:val="24"/>
        </w:rPr>
        <w:t>os no âmbito da Corte de Contas</w:t>
      </w:r>
      <w:r w:rsidR="00646EAC">
        <w:rPr>
          <w:sz w:val="24"/>
          <w:szCs w:val="24"/>
        </w:rPr>
        <w:t xml:space="preserve">. </w:t>
      </w:r>
    </w:p>
    <w:p w14:paraId="26C53FF1" w14:textId="07B9C154" w:rsidR="004A6F6D" w:rsidRDefault="008E53BA" w:rsidP="004A6F6D">
      <w:pPr>
        <w:pStyle w:val="Corpodetexto"/>
        <w:spacing w:before="120"/>
        <w:ind w:firstLine="1134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Assim, n</w:t>
      </w:r>
      <w:r w:rsidRPr="00752F7E">
        <w:rPr>
          <w:sz w:val="24"/>
          <w:szCs w:val="24"/>
          <w:lang w:eastAsia="pt-BR"/>
        </w:rPr>
        <w:t xml:space="preserve">o que se refere à ausência de notificação </w:t>
      </w:r>
      <w:r w:rsidR="004A6F6D">
        <w:rPr>
          <w:sz w:val="24"/>
          <w:szCs w:val="24"/>
          <w:lang w:eastAsia="pt-BR"/>
        </w:rPr>
        <w:t>do</w:t>
      </w:r>
      <w:r>
        <w:rPr>
          <w:sz w:val="24"/>
          <w:szCs w:val="24"/>
          <w:lang w:eastAsia="pt-BR"/>
        </w:rPr>
        <w:t xml:space="preserve"> responsável </w:t>
      </w:r>
      <w:r w:rsidRPr="00752F7E">
        <w:rPr>
          <w:sz w:val="24"/>
          <w:szCs w:val="24"/>
          <w:lang w:eastAsia="pt-BR"/>
        </w:rPr>
        <w:t>na fase interna da tomada de contas especial, a jurisprudência deste Tribunal é firme no sentido de que a instauração do contraditório</w:t>
      </w:r>
      <w:r>
        <w:rPr>
          <w:sz w:val="24"/>
          <w:szCs w:val="24"/>
          <w:lang w:eastAsia="pt-BR"/>
        </w:rPr>
        <w:t xml:space="preserve"> e da ampla defesa</w:t>
      </w:r>
      <w:r w:rsidRPr="00752F7E">
        <w:rPr>
          <w:sz w:val="24"/>
          <w:szCs w:val="24"/>
          <w:lang w:eastAsia="pt-BR"/>
        </w:rPr>
        <w:t xml:space="preserve">, para fins de condenação dos responsáveis por parte desta Corte de Contas, somente se dá na fase externa do processo de </w:t>
      </w:r>
      <w:r w:rsidR="00B303E5">
        <w:rPr>
          <w:sz w:val="24"/>
          <w:szCs w:val="24"/>
          <w:lang w:eastAsia="pt-BR"/>
        </w:rPr>
        <w:t xml:space="preserve">tomada de </w:t>
      </w:r>
      <w:r w:rsidRPr="00752F7E">
        <w:rPr>
          <w:sz w:val="24"/>
          <w:szCs w:val="24"/>
          <w:lang w:eastAsia="pt-BR"/>
        </w:rPr>
        <w:t xml:space="preserve">contas especiais, ou seja, por meio de sua regular citação, sendo irrelevante, para a configuração do contraditório, a ocorrência ou não de notificação anterior pelo órgão concedente (Acórdãos </w:t>
      </w:r>
      <w:r w:rsidR="00D34ACB">
        <w:rPr>
          <w:sz w:val="24"/>
          <w:szCs w:val="24"/>
          <w:lang w:eastAsia="pt-BR"/>
        </w:rPr>
        <w:t xml:space="preserve">1.404/2014-TCU-Plenário, </w:t>
      </w:r>
      <w:r w:rsidRPr="00752F7E">
        <w:rPr>
          <w:sz w:val="24"/>
          <w:szCs w:val="24"/>
          <w:lang w:eastAsia="pt-BR"/>
        </w:rPr>
        <w:t>1</w:t>
      </w:r>
      <w:r w:rsidR="00FC1E3B">
        <w:rPr>
          <w:sz w:val="24"/>
          <w:szCs w:val="24"/>
          <w:lang w:eastAsia="pt-BR"/>
        </w:rPr>
        <w:t>.</w:t>
      </w:r>
      <w:r w:rsidRPr="00752F7E">
        <w:rPr>
          <w:sz w:val="24"/>
          <w:szCs w:val="24"/>
          <w:lang w:eastAsia="pt-BR"/>
        </w:rPr>
        <w:t>991/2014-</w:t>
      </w:r>
      <w:r w:rsidR="00FC1E3B">
        <w:rPr>
          <w:sz w:val="24"/>
          <w:szCs w:val="24"/>
          <w:lang w:eastAsia="pt-BR"/>
        </w:rPr>
        <w:t>TCU-</w:t>
      </w:r>
      <w:r w:rsidRPr="00752F7E">
        <w:rPr>
          <w:sz w:val="24"/>
          <w:szCs w:val="24"/>
          <w:lang w:eastAsia="pt-BR"/>
        </w:rPr>
        <w:t xml:space="preserve">Plenário, </w:t>
      </w:r>
      <w:r w:rsidR="00FC1E3B">
        <w:rPr>
          <w:sz w:val="24"/>
          <w:szCs w:val="24"/>
          <w:lang w:eastAsia="pt-BR"/>
        </w:rPr>
        <w:t xml:space="preserve">2.875/2014-TCU-Plenário, </w:t>
      </w:r>
      <w:r w:rsidRPr="00752F7E">
        <w:rPr>
          <w:sz w:val="24"/>
          <w:szCs w:val="24"/>
          <w:lang w:eastAsia="pt-BR"/>
        </w:rPr>
        <w:t>4</w:t>
      </w:r>
      <w:r w:rsidR="008A33E5">
        <w:rPr>
          <w:sz w:val="24"/>
          <w:szCs w:val="24"/>
          <w:lang w:eastAsia="pt-BR"/>
        </w:rPr>
        <w:t>.</w:t>
      </w:r>
      <w:r w:rsidRPr="00752F7E">
        <w:rPr>
          <w:sz w:val="24"/>
          <w:szCs w:val="24"/>
          <w:lang w:eastAsia="pt-BR"/>
        </w:rPr>
        <w:t>578/2014-</w:t>
      </w:r>
      <w:r w:rsidR="008A33E5">
        <w:rPr>
          <w:sz w:val="24"/>
          <w:szCs w:val="24"/>
          <w:lang w:eastAsia="pt-BR"/>
        </w:rPr>
        <w:t>TCU-</w:t>
      </w:r>
      <w:r w:rsidRPr="00752F7E">
        <w:rPr>
          <w:sz w:val="24"/>
          <w:szCs w:val="24"/>
          <w:lang w:eastAsia="pt-BR"/>
        </w:rPr>
        <w:t xml:space="preserve">1ª Câmara, </w:t>
      </w:r>
      <w:r w:rsidR="008A33E5">
        <w:rPr>
          <w:sz w:val="24"/>
          <w:szCs w:val="24"/>
          <w:lang w:eastAsia="pt-BR"/>
        </w:rPr>
        <w:t>5</w:t>
      </w:r>
      <w:r w:rsidRPr="00752F7E">
        <w:rPr>
          <w:sz w:val="24"/>
          <w:szCs w:val="24"/>
          <w:lang w:eastAsia="pt-BR"/>
        </w:rPr>
        <w:t>.</w:t>
      </w:r>
      <w:r w:rsidR="008A33E5">
        <w:rPr>
          <w:sz w:val="24"/>
          <w:szCs w:val="24"/>
          <w:lang w:eastAsia="pt-BR"/>
        </w:rPr>
        <w:t>66</w:t>
      </w:r>
      <w:r w:rsidRPr="00752F7E">
        <w:rPr>
          <w:sz w:val="24"/>
          <w:szCs w:val="24"/>
          <w:lang w:eastAsia="pt-BR"/>
        </w:rPr>
        <w:t>1/201</w:t>
      </w:r>
      <w:r w:rsidR="008A33E5">
        <w:rPr>
          <w:sz w:val="24"/>
          <w:szCs w:val="24"/>
          <w:lang w:eastAsia="pt-BR"/>
        </w:rPr>
        <w:t>4</w:t>
      </w:r>
      <w:r w:rsidRPr="00752F7E">
        <w:rPr>
          <w:sz w:val="24"/>
          <w:szCs w:val="24"/>
          <w:lang w:eastAsia="pt-BR"/>
        </w:rPr>
        <w:t>-</w:t>
      </w:r>
      <w:r w:rsidR="008A33E5">
        <w:rPr>
          <w:sz w:val="24"/>
          <w:szCs w:val="24"/>
          <w:lang w:eastAsia="pt-BR"/>
        </w:rPr>
        <w:t>TCU-1ª Câmara</w:t>
      </w:r>
      <w:r w:rsidRPr="00752F7E">
        <w:rPr>
          <w:sz w:val="24"/>
          <w:szCs w:val="24"/>
          <w:lang w:eastAsia="pt-BR"/>
        </w:rPr>
        <w:t xml:space="preserve">, </w:t>
      </w:r>
      <w:r w:rsidR="008A33E5">
        <w:rPr>
          <w:sz w:val="24"/>
          <w:szCs w:val="24"/>
          <w:lang w:eastAsia="pt-BR"/>
        </w:rPr>
        <w:t xml:space="preserve">6.941/2015-TCU-1ª Câmara e 874/2016-TCU-1ª Câmara, </w:t>
      </w:r>
      <w:r w:rsidRPr="00752F7E">
        <w:rPr>
          <w:sz w:val="24"/>
          <w:szCs w:val="24"/>
          <w:lang w:eastAsia="pt-BR"/>
        </w:rPr>
        <w:t>dentre outros)</w:t>
      </w:r>
      <w:r w:rsidR="004A6F6D">
        <w:rPr>
          <w:sz w:val="24"/>
          <w:szCs w:val="24"/>
          <w:lang w:eastAsia="pt-BR"/>
        </w:rPr>
        <w:t>.</w:t>
      </w:r>
    </w:p>
    <w:p w14:paraId="1E9EEF91" w14:textId="6D7B3362" w:rsidR="008E53BA" w:rsidRPr="004A6F6D" w:rsidRDefault="004A6F6D" w:rsidP="004A6F6D">
      <w:pPr>
        <w:pStyle w:val="Corpodetexto"/>
        <w:spacing w:before="360" w:after="120"/>
        <w:rPr>
          <w:b/>
          <w:bCs/>
          <w:color w:val="365F91" w:themeColor="accent1" w:themeShade="BF"/>
          <w:sz w:val="24"/>
          <w:szCs w:val="24"/>
          <w:lang w:eastAsia="pt-BR"/>
        </w:rPr>
      </w:pPr>
      <w:r>
        <w:rPr>
          <w:color w:val="365F91" w:themeColor="accent1" w:themeShade="BF"/>
          <w:sz w:val="24"/>
          <w:szCs w:val="24"/>
          <w:lang w:eastAsia="pt-BR"/>
        </w:rPr>
        <w:t>Á</w:t>
      </w:r>
      <w:r w:rsidR="008E53BA" w:rsidRPr="004A6F6D">
        <w:rPr>
          <w:color w:val="365F91" w:themeColor="accent1" w:themeShade="BF"/>
          <w:sz w:val="24"/>
          <w:szCs w:val="24"/>
          <w:lang w:eastAsia="pt-BR"/>
        </w:rPr>
        <w:t>rea: Processual; Tema: Comunicação processual; Subtema: Citação.</w:t>
      </w:r>
    </w:p>
    <w:p w14:paraId="52594D84" w14:textId="77777777" w:rsidR="008E53BA" w:rsidRPr="004A6F6D" w:rsidRDefault="008E53BA" w:rsidP="004A6F6D">
      <w:pPr>
        <w:pStyle w:val="Corpodetexto"/>
        <w:spacing w:before="360" w:after="120"/>
        <w:ind w:firstLine="1134"/>
        <w:rPr>
          <w:color w:val="365F91" w:themeColor="accent1" w:themeShade="BF"/>
          <w:sz w:val="24"/>
          <w:szCs w:val="24"/>
        </w:rPr>
      </w:pPr>
    </w:p>
    <w:sectPr w:rsidR="008E53BA" w:rsidRPr="004A6F6D" w:rsidSect="00C269D1">
      <w:footnotePr>
        <w:pos w:val="beneathText"/>
      </w:footnotePr>
      <w:pgSz w:w="11905" w:h="16837"/>
      <w:pgMar w:top="1418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85"/>
    <w:rsid w:val="00015DA1"/>
    <w:rsid w:val="00027825"/>
    <w:rsid w:val="00033CC0"/>
    <w:rsid w:val="000407F1"/>
    <w:rsid w:val="00050E80"/>
    <w:rsid w:val="0005490B"/>
    <w:rsid w:val="00075989"/>
    <w:rsid w:val="00085931"/>
    <w:rsid w:val="0009072F"/>
    <w:rsid w:val="000A6B63"/>
    <w:rsid w:val="000E5D8C"/>
    <w:rsid w:val="000F2728"/>
    <w:rsid w:val="000F6B14"/>
    <w:rsid w:val="00100277"/>
    <w:rsid w:val="00116DE9"/>
    <w:rsid w:val="0012309D"/>
    <w:rsid w:val="00132BBD"/>
    <w:rsid w:val="001358C5"/>
    <w:rsid w:val="001377DD"/>
    <w:rsid w:val="0015170F"/>
    <w:rsid w:val="00151BC6"/>
    <w:rsid w:val="00164318"/>
    <w:rsid w:val="001852E6"/>
    <w:rsid w:val="001A20CD"/>
    <w:rsid w:val="001D2F53"/>
    <w:rsid w:val="001D4482"/>
    <w:rsid w:val="001E0802"/>
    <w:rsid w:val="001E5C42"/>
    <w:rsid w:val="001F40E9"/>
    <w:rsid w:val="00201E0D"/>
    <w:rsid w:val="00211D7E"/>
    <w:rsid w:val="002316E3"/>
    <w:rsid w:val="002679A8"/>
    <w:rsid w:val="00275471"/>
    <w:rsid w:val="0027671B"/>
    <w:rsid w:val="002778B1"/>
    <w:rsid w:val="002923D2"/>
    <w:rsid w:val="002971A5"/>
    <w:rsid w:val="002A029F"/>
    <w:rsid w:val="002B09B3"/>
    <w:rsid w:val="002B6C13"/>
    <w:rsid w:val="002D6A57"/>
    <w:rsid w:val="002E0611"/>
    <w:rsid w:val="002E794A"/>
    <w:rsid w:val="003129F9"/>
    <w:rsid w:val="0033627F"/>
    <w:rsid w:val="0039040A"/>
    <w:rsid w:val="003A5AEE"/>
    <w:rsid w:val="003B3D79"/>
    <w:rsid w:val="003C2D79"/>
    <w:rsid w:val="00400667"/>
    <w:rsid w:val="004072A5"/>
    <w:rsid w:val="004206BC"/>
    <w:rsid w:val="00425F78"/>
    <w:rsid w:val="00464E93"/>
    <w:rsid w:val="00482055"/>
    <w:rsid w:val="0049709E"/>
    <w:rsid w:val="004A1051"/>
    <w:rsid w:val="004A6F6D"/>
    <w:rsid w:val="004C3066"/>
    <w:rsid w:val="004D4469"/>
    <w:rsid w:val="004D6E2E"/>
    <w:rsid w:val="00502DE1"/>
    <w:rsid w:val="005036B5"/>
    <w:rsid w:val="00505471"/>
    <w:rsid w:val="00516664"/>
    <w:rsid w:val="0052562A"/>
    <w:rsid w:val="00545403"/>
    <w:rsid w:val="0055601C"/>
    <w:rsid w:val="00573667"/>
    <w:rsid w:val="00583018"/>
    <w:rsid w:val="005C6AAB"/>
    <w:rsid w:val="005D242B"/>
    <w:rsid w:val="00620779"/>
    <w:rsid w:val="00636082"/>
    <w:rsid w:val="00642476"/>
    <w:rsid w:val="00646EAC"/>
    <w:rsid w:val="006555B6"/>
    <w:rsid w:val="006659E6"/>
    <w:rsid w:val="006822E3"/>
    <w:rsid w:val="006831BF"/>
    <w:rsid w:val="006A2D80"/>
    <w:rsid w:val="006A5BC1"/>
    <w:rsid w:val="006B28F1"/>
    <w:rsid w:val="006C11AD"/>
    <w:rsid w:val="006E4E62"/>
    <w:rsid w:val="00752F7E"/>
    <w:rsid w:val="00765968"/>
    <w:rsid w:val="00774940"/>
    <w:rsid w:val="007770CA"/>
    <w:rsid w:val="00786247"/>
    <w:rsid w:val="00787DF6"/>
    <w:rsid w:val="00790051"/>
    <w:rsid w:val="00791438"/>
    <w:rsid w:val="00796885"/>
    <w:rsid w:val="007A1A3E"/>
    <w:rsid w:val="007C133C"/>
    <w:rsid w:val="007E2D0C"/>
    <w:rsid w:val="007E64BE"/>
    <w:rsid w:val="007F72B4"/>
    <w:rsid w:val="008031EA"/>
    <w:rsid w:val="0083223F"/>
    <w:rsid w:val="00843DD0"/>
    <w:rsid w:val="00845D19"/>
    <w:rsid w:val="008536A7"/>
    <w:rsid w:val="00854BAF"/>
    <w:rsid w:val="0085729F"/>
    <w:rsid w:val="008658FC"/>
    <w:rsid w:val="00872FA6"/>
    <w:rsid w:val="008A1DBB"/>
    <w:rsid w:val="008A33E5"/>
    <w:rsid w:val="008B45EB"/>
    <w:rsid w:val="008C20EA"/>
    <w:rsid w:val="008C4AA9"/>
    <w:rsid w:val="008C75AA"/>
    <w:rsid w:val="008D5A38"/>
    <w:rsid w:val="008E53BA"/>
    <w:rsid w:val="008F2F95"/>
    <w:rsid w:val="008F7B15"/>
    <w:rsid w:val="00902C79"/>
    <w:rsid w:val="0091242D"/>
    <w:rsid w:val="0092498D"/>
    <w:rsid w:val="00941B97"/>
    <w:rsid w:val="009439E0"/>
    <w:rsid w:val="00967084"/>
    <w:rsid w:val="00971B00"/>
    <w:rsid w:val="009843DA"/>
    <w:rsid w:val="009C7415"/>
    <w:rsid w:val="009D75A7"/>
    <w:rsid w:val="009E1E0D"/>
    <w:rsid w:val="00A02103"/>
    <w:rsid w:val="00A12954"/>
    <w:rsid w:val="00A21D66"/>
    <w:rsid w:val="00A24285"/>
    <w:rsid w:val="00A42CE1"/>
    <w:rsid w:val="00A51AE2"/>
    <w:rsid w:val="00A663FC"/>
    <w:rsid w:val="00A967ED"/>
    <w:rsid w:val="00B303E5"/>
    <w:rsid w:val="00B5537E"/>
    <w:rsid w:val="00B70DDE"/>
    <w:rsid w:val="00B72DE9"/>
    <w:rsid w:val="00B81ECF"/>
    <w:rsid w:val="00B868BA"/>
    <w:rsid w:val="00B92918"/>
    <w:rsid w:val="00BA15C9"/>
    <w:rsid w:val="00BB39A7"/>
    <w:rsid w:val="00BB58D3"/>
    <w:rsid w:val="00BE0D2F"/>
    <w:rsid w:val="00BE4EB9"/>
    <w:rsid w:val="00BE5DF0"/>
    <w:rsid w:val="00C05461"/>
    <w:rsid w:val="00C11AC3"/>
    <w:rsid w:val="00C16DAF"/>
    <w:rsid w:val="00C17474"/>
    <w:rsid w:val="00C21498"/>
    <w:rsid w:val="00C269D1"/>
    <w:rsid w:val="00C306EC"/>
    <w:rsid w:val="00C61AA2"/>
    <w:rsid w:val="00C83EBC"/>
    <w:rsid w:val="00CC1AB3"/>
    <w:rsid w:val="00CC4EA4"/>
    <w:rsid w:val="00CC4FB0"/>
    <w:rsid w:val="00CD60F9"/>
    <w:rsid w:val="00CE6145"/>
    <w:rsid w:val="00CF62F5"/>
    <w:rsid w:val="00D05F7E"/>
    <w:rsid w:val="00D20562"/>
    <w:rsid w:val="00D34ACB"/>
    <w:rsid w:val="00D35111"/>
    <w:rsid w:val="00D56B6F"/>
    <w:rsid w:val="00D6768B"/>
    <w:rsid w:val="00D77055"/>
    <w:rsid w:val="00DB3E33"/>
    <w:rsid w:val="00DB50A8"/>
    <w:rsid w:val="00DD7C40"/>
    <w:rsid w:val="00DE2D91"/>
    <w:rsid w:val="00DF669D"/>
    <w:rsid w:val="00E2290E"/>
    <w:rsid w:val="00E4574C"/>
    <w:rsid w:val="00E76E5A"/>
    <w:rsid w:val="00EA667C"/>
    <w:rsid w:val="00F00866"/>
    <w:rsid w:val="00F04CF5"/>
    <w:rsid w:val="00F06F15"/>
    <w:rsid w:val="00F12BEB"/>
    <w:rsid w:val="00F43727"/>
    <w:rsid w:val="00F4770E"/>
    <w:rsid w:val="00F5589A"/>
    <w:rsid w:val="00F7673D"/>
    <w:rsid w:val="00F84B4C"/>
    <w:rsid w:val="00FA7A88"/>
    <w:rsid w:val="00FC1E3B"/>
    <w:rsid w:val="00FD0D35"/>
    <w:rsid w:val="00FD1CBF"/>
    <w:rsid w:val="00FE5849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53B3"/>
  <w15:docId w15:val="{F60C3408-C75D-48B2-BE9F-C2E2ECA0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9D1"/>
    <w:pPr>
      <w:suppressAutoHyphens/>
      <w:spacing w:after="120"/>
      <w:jc w:val="both"/>
    </w:pPr>
    <w:rPr>
      <w:rFonts w:eastAsia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1">
    <w:name w:val="Default Paragraph Font1"/>
    <w:rsid w:val="00C269D1"/>
  </w:style>
  <w:style w:type="character" w:customStyle="1" w:styleId="BodyTextChar">
    <w:name w:val="Body Text Char"/>
    <w:rsid w:val="00C269D1"/>
    <w:rPr>
      <w:rFonts w:eastAsia="Times New Roman"/>
    </w:rPr>
  </w:style>
  <w:style w:type="character" w:styleId="Hyperlink">
    <w:name w:val="Hyperlink"/>
    <w:semiHidden/>
    <w:rsid w:val="00C269D1"/>
    <w:rPr>
      <w:color w:val="000000"/>
      <w:u w:val="single"/>
    </w:rPr>
  </w:style>
  <w:style w:type="paragraph" w:customStyle="1" w:styleId="Captulo">
    <w:name w:val="Capítulo"/>
    <w:basedOn w:val="Normal"/>
    <w:next w:val="Corpodetexto"/>
    <w:rsid w:val="00C269D1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269D1"/>
    <w:pPr>
      <w:spacing w:after="0"/>
    </w:pPr>
    <w:rPr>
      <w:rFonts w:eastAsia="Times New Roman"/>
      <w:sz w:val="20"/>
      <w:szCs w:val="20"/>
    </w:rPr>
  </w:style>
  <w:style w:type="paragraph" w:styleId="Lista">
    <w:name w:val="List"/>
    <w:basedOn w:val="Corpodetexto"/>
    <w:semiHidden/>
    <w:rsid w:val="00C269D1"/>
    <w:rPr>
      <w:rFonts w:cs="Tahoma"/>
    </w:rPr>
  </w:style>
  <w:style w:type="paragraph" w:customStyle="1" w:styleId="Legenda1">
    <w:name w:val="Legenda1"/>
    <w:basedOn w:val="Normal"/>
    <w:rsid w:val="00C269D1"/>
    <w:pPr>
      <w:suppressLineNumbers/>
      <w:spacing w:before="120"/>
    </w:pPr>
    <w:rPr>
      <w:rFonts w:cs="Tahoma"/>
      <w:i/>
      <w:iCs/>
    </w:rPr>
  </w:style>
  <w:style w:type="paragraph" w:customStyle="1" w:styleId="ndice">
    <w:name w:val="Índice"/>
    <w:basedOn w:val="Normal"/>
    <w:rsid w:val="00C269D1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unhideWhenUsed/>
    <w:rsid w:val="00151BC6"/>
    <w:pPr>
      <w:suppressAutoHyphens w:val="0"/>
      <w:spacing w:after="0" w:line="360" w:lineRule="auto"/>
      <w:ind w:firstLine="1200"/>
      <w:jc w:val="left"/>
    </w:pPr>
    <w:rPr>
      <w:rFonts w:eastAsia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E4EB9"/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4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40A"/>
    <w:rPr>
      <w:rFonts w:ascii="Tahoma" w:eastAsia="Calibri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3904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04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040A"/>
    <w:rPr>
      <w:rFonts w:eastAsia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04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040A"/>
    <w:rPr>
      <w:rFonts w:eastAsia="Calibri"/>
      <w:b/>
      <w:bCs/>
      <w:lang w:eastAsia="ar-SA"/>
    </w:rPr>
  </w:style>
  <w:style w:type="character" w:styleId="nfaseSutil">
    <w:name w:val="Subtle Emphasis"/>
    <w:basedOn w:val="Fontepargpadro"/>
    <w:uiPriority w:val="19"/>
    <w:qFormat/>
    <w:rsid w:val="002679A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TCU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afonsofm</dc:creator>
  <cp:lastModifiedBy>Marcia Nubia Cavalcante Lopes</cp:lastModifiedBy>
  <cp:revision>6</cp:revision>
  <cp:lastPrinted>2011-08-10T18:07:00Z</cp:lastPrinted>
  <dcterms:created xsi:type="dcterms:W3CDTF">2016-03-21T17:08:00Z</dcterms:created>
  <dcterms:modified xsi:type="dcterms:W3CDTF">2016-03-28T20:00:00Z</dcterms:modified>
</cp:coreProperties>
</file>