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7B85B" w14:textId="1A0842C5" w:rsidR="008E4BC4" w:rsidRPr="008E4BC4" w:rsidRDefault="008E4BC4" w:rsidP="008E4BC4">
      <w:pPr>
        <w:jc w:val="right"/>
        <w:rPr>
          <w:b/>
        </w:rPr>
      </w:pPr>
      <w:r w:rsidRPr="008E4BC4">
        <w:rPr>
          <w:b/>
        </w:rPr>
        <w:t>Revisado em 16/12/2015</w:t>
      </w:r>
    </w:p>
    <w:p w14:paraId="5889ED13" w14:textId="51CDE599" w:rsidR="00A24285" w:rsidRPr="00D55005" w:rsidRDefault="00362DFD" w:rsidP="00A24285">
      <w:r>
        <w:t xml:space="preserve">Tema </w:t>
      </w:r>
      <w:r w:rsidR="00647466">
        <w:t>22</w:t>
      </w:r>
      <w:bookmarkStart w:id="0" w:name="_GoBack"/>
      <w:bookmarkEnd w:id="0"/>
      <w:r w:rsidR="005B4974" w:rsidRPr="00D55005">
        <w:t xml:space="preserve"> </w:t>
      </w:r>
      <w:r w:rsidR="005153BE">
        <w:noBreakHyphen/>
      </w:r>
      <w:r w:rsidR="005B4974" w:rsidRPr="00D55005">
        <w:t xml:space="preserve"> Obrigatoriedade de análise dos elementos do processo</w:t>
      </w:r>
      <w:r w:rsidR="00E864FB">
        <w:t xml:space="preserve"> ainda que haja revelia</w:t>
      </w:r>
      <w:r w:rsidR="00A24285" w:rsidRPr="00D55005">
        <w:t>.</w:t>
      </w:r>
    </w:p>
    <w:p w14:paraId="7324E04F" w14:textId="77777777" w:rsidR="003241C6" w:rsidRPr="00D55005" w:rsidRDefault="005B4974" w:rsidP="008E4BC4">
      <w:pPr>
        <w:spacing w:before="360" w:after="360"/>
        <w:rPr>
          <w:rFonts w:eastAsia="Times New Roman"/>
          <w:b/>
          <w:bCs/>
          <w:color w:val="000000"/>
          <w:lang w:eastAsia="pt-BR"/>
        </w:rPr>
      </w:pPr>
      <w:r w:rsidRPr="00D55005">
        <w:rPr>
          <w:rFonts w:eastAsia="Times New Roman"/>
          <w:b/>
          <w:bCs/>
          <w:color w:val="365F91"/>
        </w:rPr>
        <w:t>O instituto da r</w:t>
      </w:r>
      <w:r w:rsidR="00BF1AE8" w:rsidRPr="00D55005">
        <w:rPr>
          <w:rFonts w:eastAsia="Times New Roman"/>
          <w:b/>
          <w:bCs/>
          <w:color w:val="365F91"/>
        </w:rPr>
        <w:t xml:space="preserve">evelia não implica, por si só, </w:t>
      </w:r>
      <w:r w:rsidRPr="00D55005">
        <w:rPr>
          <w:rFonts w:eastAsia="Times New Roman"/>
          <w:b/>
          <w:bCs/>
          <w:color w:val="365F91"/>
        </w:rPr>
        <w:t>a condenação do responsável revel, por não estar afastada a obrigatoriedade da análise das provas existentes no processo.</w:t>
      </w:r>
    </w:p>
    <w:p w14:paraId="6213E745" w14:textId="77777777" w:rsidR="002330C1" w:rsidRDefault="00D23D1C" w:rsidP="004D7199">
      <w:pPr>
        <w:pStyle w:val="Corpodetexto"/>
        <w:spacing w:before="120"/>
        <w:ind w:firstLine="1134"/>
        <w:rPr>
          <w:sz w:val="24"/>
          <w:szCs w:val="24"/>
        </w:rPr>
      </w:pPr>
      <w:r w:rsidRPr="00D55005">
        <w:rPr>
          <w:sz w:val="24"/>
          <w:szCs w:val="24"/>
        </w:rPr>
        <w:t xml:space="preserve">Regularmente citado, </w:t>
      </w:r>
      <w:r w:rsidR="00716766" w:rsidRPr="00D55005">
        <w:rPr>
          <w:sz w:val="24"/>
          <w:szCs w:val="24"/>
        </w:rPr>
        <w:t>o</w:t>
      </w:r>
      <w:r w:rsidR="00716766">
        <w:rPr>
          <w:sz w:val="24"/>
          <w:szCs w:val="24"/>
        </w:rPr>
        <w:t xml:space="preserve"> </w:t>
      </w:r>
      <w:r w:rsidR="002330C1">
        <w:rPr>
          <w:sz w:val="24"/>
          <w:szCs w:val="24"/>
        </w:rPr>
        <w:t xml:space="preserve">Senhor </w:t>
      </w:r>
      <w:r w:rsidR="002330C1" w:rsidRPr="00D23D1C">
        <w:rPr>
          <w:color w:val="FF0000"/>
          <w:sz w:val="24"/>
          <w:szCs w:val="24"/>
        </w:rPr>
        <w:t>&lt;&lt;responsável sob análise&gt;&gt;</w:t>
      </w:r>
      <w:r w:rsidR="002330C1">
        <w:rPr>
          <w:sz w:val="24"/>
          <w:szCs w:val="24"/>
        </w:rPr>
        <w:t xml:space="preserve"> </w:t>
      </w:r>
      <w:r w:rsidR="004D7199" w:rsidRPr="003A0E79">
        <w:rPr>
          <w:sz w:val="24"/>
          <w:szCs w:val="24"/>
        </w:rPr>
        <w:t>não comparece</w:t>
      </w:r>
      <w:r>
        <w:rPr>
          <w:sz w:val="24"/>
          <w:szCs w:val="24"/>
        </w:rPr>
        <w:t>u</w:t>
      </w:r>
      <w:r w:rsidR="004D7199" w:rsidRPr="003A0E79">
        <w:rPr>
          <w:sz w:val="24"/>
          <w:szCs w:val="24"/>
        </w:rPr>
        <w:t xml:space="preserve"> aos autos. </w:t>
      </w:r>
    </w:p>
    <w:p w14:paraId="309C2CC4" w14:textId="77777777" w:rsidR="00E13AD2" w:rsidRDefault="0087382B" w:rsidP="0087382B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Nos termos do art. 12, § 3º, da Lei 8.443/1992, ao não responder </w:t>
      </w:r>
      <w:r w:rsidR="00E87A80">
        <w:rPr>
          <w:sz w:val="24"/>
          <w:szCs w:val="24"/>
        </w:rPr>
        <w:t>à</w:t>
      </w:r>
      <w:r>
        <w:rPr>
          <w:sz w:val="24"/>
          <w:szCs w:val="24"/>
        </w:rPr>
        <w:t xml:space="preserve"> citação expedida por esta Corte de Contas, o responsável torna-se revel, para todos os efeitos,</w:t>
      </w:r>
      <w:r w:rsidR="00E13AD2">
        <w:rPr>
          <w:sz w:val="24"/>
          <w:szCs w:val="24"/>
        </w:rPr>
        <w:t xml:space="preserve"> dando-se prosseguimento ao processo. </w:t>
      </w:r>
    </w:p>
    <w:p w14:paraId="726E27DA" w14:textId="77777777" w:rsidR="0087382B" w:rsidRDefault="00E13AD2" w:rsidP="0087382B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A despeito da aplicação da revelia, devem</w:t>
      </w:r>
      <w:r w:rsidR="002F083B">
        <w:rPr>
          <w:sz w:val="24"/>
          <w:szCs w:val="24"/>
        </w:rPr>
        <w:t xml:space="preserve"> ser considerados</w:t>
      </w:r>
      <w:r>
        <w:rPr>
          <w:sz w:val="24"/>
          <w:szCs w:val="24"/>
        </w:rPr>
        <w:t>, no entanto,</w:t>
      </w:r>
      <w:r w:rsidR="0087382B">
        <w:rPr>
          <w:sz w:val="24"/>
          <w:szCs w:val="24"/>
        </w:rPr>
        <w:t xml:space="preserve"> os elemen</w:t>
      </w:r>
      <w:r w:rsidR="002F083B">
        <w:rPr>
          <w:sz w:val="24"/>
          <w:szCs w:val="24"/>
        </w:rPr>
        <w:t>tos já constantes dos autos, os quais</w:t>
      </w:r>
      <w:r w:rsidR="0087382B">
        <w:rPr>
          <w:sz w:val="24"/>
          <w:szCs w:val="24"/>
        </w:rPr>
        <w:t xml:space="preserve"> podem, inclusive, levar a um juízo favorável ao responsável revel. </w:t>
      </w:r>
    </w:p>
    <w:p w14:paraId="06FBCF6F" w14:textId="77777777" w:rsidR="00716766" w:rsidRDefault="00716766" w:rsidP="004D7199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Deve-se observar que</w:t>
      </w:r>
      <w:r w:rsidR="004D7199" w:rsidRPr="003A0E79">
        <w:rPr>
          <w:sz w:val="24"/>
          <w:szCs w:val="24"/>
        </w:rPr>
        <w:t xml:space="preserve"> </w:t>
      </w:r>
      <w:r w:rsidR="00E864FB">
        <w:rPr>
          <w:sz w:val="24"/>
          <w:szCs w:val="24"/>
        </w:rPr>
        <w:t>nos processos do TCU</w:t>
      </w:r>
      <w:r w:rsidR="004D7199" w:rsidRPr="003A0E79">
        <w:rPr>
          <w:sz w:val="24"/>
          <w:szCs w:val="24"/>
        </w:rPr>
        <w:t xml:space="preserve"> </w:t>
      </w:r>
      <w:proofErr w:type="spellStart"/>
      <w:r w:rsidR="004D7199" w:rsidRPr="003A0E79">
        <w:rPr>
          <w:sz w:val="24"/>
          <w:szCs w:val="24"/>
        </w:rPr>
        <w:t>a</w:t>
      </w:r>
      <w:proofErr w:type="spellEnd"/>
      <w:r w:rsidR="004D7199" w:rsidRPr="003A0E79">
        <w:rPr>
          <w:sz w:val="24"/>
          <w:szCs w:val="24"/>
        </w:rPr>
        <w:t xml:space="preserve"> revelia</w:t>
      </w:r>
      <w:r>
        <w:rPr>
          <w:sz w:val="24"/>
          <w:szCs w:val="24"/>
        </w:rPr>
        <w:t xml:space="preserve"> não implica a presunção de que se</w:t>
      </w:r>
      <w:r w:rsidR="00E864FB">
        <w:rPr>
          <w:sz w:val="24"/>
          <w:szCs w:val="24"/>
        </w:rPr>
        <w:t>j</w:t>
      </w:r>
      <w:r>
        <w:rPr>
          <w:sz w:val="24"/>
          <w:szCs w:val="24"/>
        </w:rPr>
        <w:t xml:space="preserve">am </w:t>
      </w:r>
      <w:r w:rsidR="004D7199" w:rsidRPr="003A0E79">
        <w:rPr>
          <w:sz w:val="24"/>
          <w:szCs w:val="24"/>
        </w:rPr>
        <w:t xml:space="preserve">verdadeiras todas as imputações levantadas contra os responsáveis, </w:t>
      </w:r>
      <w:r>
        <w:rPr>
          <w:sz w:val="24"/>
          <w:szCs w:val="24"/>
        </w:rPr>
        <w:t xml:space="preserve">diferentemente do que </w:t>
      </w:r>
      <w:r w:rsidR="004D7199" w:rsidRPr="003A0E79">
        <w:rPr>
          <w:sz w:val="24"/>
          <w:szCs w:val="24"/>
        </w:rPr>
        <w:t xml:space="preserve">ocorre no processo civil, </w:t>
      </w:r>
      <w:r>
        <w:rPr>
          <w:sz w:val="24"/>
          <w:szCs w:val="24"/>
        </w:rPr>
        <w:t>em que</w:t>
      </w:r>
      <w:r w:rsidR="004D7199" w:rsidRPr="003A0E79">
        <w:rPr>
          <w:sz w:val="24"/>
          <w:szCs w:val="24"/>
        </w:rPr>
        <w:t xml:space="preserve"> </w:t>
      </w:r>
      <w:r w:rsidR="00E864FB">
        <w:rPr>
          <w:sz w:val="24"/>
          <w:szCs w:val="24"/>
        </w:rPr>
        <w:t>o não comparecimento</w:t>
      </w:r>
      <w:r w:rsidR="004D7199" w:rsidRPr="003A0E79">
        <w:rPr>
          <w:sz w:val="24"/>
          <w:szCs w:val="24"/>
        </w:rPr>
        <w:t xml:space="preserve"> do réu </w:t>
      </w:r>
      <w:r w:rsidR="00E864FB">
        <w:rPr>
          <w:sz w:val="24"/>
          <w:szCs w:val="24"/>
        </w:rPr>
        <w:t xml:space="preserve">nos autos leva à </w:t>
      </w:r>
      <w:r w:rsidR="004D7199" w:rsidRPr="003A0E79">
        <w:rPr>
          <w:sz w:val="24"/>
          <w:szCs w:val="24"/>
        </w:rPr>
        <w:t xml:space="preserve">presunção da verdade dos fatos narrados pelo autor. </w:t>
      </w:r>
    </w:p>
    <w:p w14:paraId="055184E8" w14:textId="77777777" w:rsidR="004D7199" w:rsidRDefault="00716766" w:rsidP="004D7199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A</w:t>
      </w:r>
      <w:r w:rsidR="0077495C">
        <w:rPr>
          <w:sz w:val="24"/>
          <w:szCs w:val="24"/>
        </w:rPr>
        <w:t>ssim, independente</w:t>
      </w:r>
      <w:r w:rsidR="00E70063">
        <w:rPr>
          <w:sz w:val="24"/>
          <w:szCs w:val="24"/>
        </w:rPr>
        <w:t>mente</w:t>
      </w:r>
      <w:r w:rsidR="0077495C">
        <w:rPr>
          <w:sz w:val="24"/>
          <w:szCs w:val="24"/>
        </w:rPr>
        <w:t xml:space="preserve"> da revelia, a</w:t>
      </w:r>
      <w:r>
        <w:rPr>
          <w:sz w:val="24"/>
          <w:szCs w:val="24"/>
        </w:rPr>
        <w:t xml:space="preserve"> </w:t>
      </w:r>
      <w:r w:rsidR="002F083B">
        <w:rPr>
          <w:sz w:val="24"/>
          <w:szCs w:val="24"/>
        </w:rPr>
        <w:t xml:space="preserve">avaliação da </w:t>
      </w:r>
      <w:r w:rsidR="004D7199" w:rsidRPr="003A0E79">
        <w:rPr>
          <w:sz w:val="24"/>
          <w:szCs w:val="24"/>
        </w:rPr>
        <w:t>responsabilidade do agente</w:t>
      </w:r>
      <w:r>
        <w:rPr>
          <w:sz w:val="24"/>
          <w:szCs w:val="24"/>
        </w:rPr>
        <w:t xml:space="preserve"> nos processo</w:t>
      </w:r>
      <w:r w:rsidR="0077495C">
        <w:rPr>
          <w:sz w:val="24"/>
          <w:szCs w:val="24"/>
        </w:rPr>
        <w:t>s</w:t>
      </w:r>
      <w:r>
        <w:rPr>
          <w:sz w:val="24"/>
          <w:szCs w:val="24"/>
        </w:rPr>
        <w:t xml:space="preserve"> desta Corte</w:t>
      </w:r>
      <w:r w:rsidR="004D7199" w:rsidRPr="003A0E79">
        <w:rPr>
          <w:sz w:val="24"/>
          <w:szCs w:val="24"/>
        </w:rPr>
        <w:t xml:space="preserve"> não prescind</w:t>
      </w:r>
      <w:r w:rsidR="0077495C">
        <w:rPr>
          <w:sz w:val="24"/>
          <w:szCs w:val="24"/>
        </w:rPr>
        <w:t>e</w:t>
      </w:r>
      <w:r w:rsidR="004D7199" w:rsidRPr="003A0E79">
        <w:rPr>
          <w:sz w:val="24"/>
          <w:szCs w:val="24"/>
        </w:rPr>
        <w:t xml:space="preserve"> d</w:t>
      </w:r>
      <w:r w:rsidR="00BF1AE8">
        <w:rPr>
          <w:sz w:val="24"/>
          <w:szCs w:val="24"/>
        </w:rPr>
        <w:t>os</w:t>
      </w:r>
      <w:r w:rsidR="0087382B">
        <w:rPr>
          <w:sz w:val="24"/>
          <w:szCs w:val="24"/>
        </w:rPr>
        <w:t xml:space="preserve"> elementos</w:t>
      </w:r>
      <w:r w:rsidR="00BF1AE8">
        <w:rPr>
          <w:sz w:val="24"/>
          <w:szCs w:val="24"/>
        </w:rPr>
        <w:t xml:space="preserve"> </w:t>
      </w:r>
      <w:r w:rsidR="004D7199" w:rsidRPr="003A0E79">
        <w:rPr>
          <w:sz w:val="24"/>
          <w:szCs w:val="24"/>
        </w:rPr>
        <w:t>existente</w:t>
      </w:r>
      <w:r w:rsidR="00BF1AE8">
        <w:rPr>
          <w:sz w:val="24"/>
          <w:szCs w:val="24"/>
        </w:rPr>
        <w:t>s</w:t>
      </w:r>
      <w:r w:rsidR="004D7199" w:rsidRPr="003A0E79">
        <w:rPr>
          <w:sz w:val="24"/>
          <w:szCs w:val="24"/>
        </w:rPr>
        <w:t xml:space="preserve"> no</w:t>
      </w:r>
      <w:r w:rsidR="0077495C">
        <w:rPr>
          <w:sz w:val="24"/>
          <w:szCs w:val="24"/>
        </w:rPr>
        <w:t>s</w:t>
      </w:r>
      <w:r w:rsidR="004D7199" w:rsidRPr="003A0E79">
        <w:rPr>
          <w:sz w:val="24"/>
          <w:szCs w:val="24"/>
        </w:rPr>
        <w:t xml:space="preserve"> </w:t>
      </w:r>
      <w:r w:rsidR="0077495C">
        <w:rPr>
          <w:sz w:val="24"/>
          <w:szCs w:val="24"/>
        </w:rPr>
        <w:t>autos</w:t>
      </w:r>
      <w:r w:rsidR="004D7199" w:rsidRPr="003A0E79">
        <w:rPr>
          <w:sz w:val="24"/>
          <w:szCs w:val="24"/>
        </w:rPr>
        <w:t xml:space="preserve"> ou para ele carread</w:t>
      </w:r>
      <w:r w:rsidR="00BF1AE8">
        <w:rPr>
          <w:sz w:val="24"/>
          <w:szCs w:val="24"/>
        </w:rPr>
        <w:t>os</w:t>
      </w:r>
      <w:r w:rsidR="0087382B">
        <w:rPr>
          <w:sz w:val="24"/>
          <w:szCs w:val="24"/>
        </w:rPr>
        <w:t>,</w:t>
      </w:r>
      <w:r w:rsidR="0087382B" w:rsidRPr="0087382B">
        <w:rPr>
          <w:sz w:val="24"/>
          <w:szCs w:val="24"/>
        </w:rPr>
        <w:t xml:space="preserve"> </w:t>
      </w:r>
      <w:r w:rsidR="0087382B">
        <w:rPr>
          <w:sz w:val="24"/>
          <w:szCs w:val="24"/>
        </w:rPr>
        <w:t xml:space="preserve">uma vez que são regidos pelo </w:t>
      </w:r>
      <w:r w:rsidR="00D37119">
        <w:rPr>
          <w:sz w:val="24"/>
          <w:szCs w:val="24"/>
        </w:rPr>
        <w:t>p</w:t>
      </w:r>
      <w:r w:rsidR="0087382B">
        <w:rPr>
          <w:sz w:val="24"/>
          <w:szCs w:val="24"/>
        </w:rPr>
        <w:t xml:space="preserve">rincípio da </w:t>
      </w:r>
      <w:r w:rsidR="00D37119">
        <w:rPr>
          <w:sz w:val="24"/>
          <w:szCs w:val="24"/>
        </w:rPr>
        <w:t>v</w:t>
      </w:r>
      <w:r w:rsidR="0087382B">
        <w:rPr>
          <w:sz w:val="24"/>
          <w:szCs w:val="24"/>
        </w:rPr>
        <w:t xml:space="preserve">erdade </w:t>
      </w:r>
      <w:r w:rsidR="00D37119">
        <w:rPr>
          <w:sz w:val="24"/>
          <w:szCs w:val="24"/>
        </w:rPr>
        <w:t>m</w:t>
      </w:r>
      <w:r w:rsidR="0087382B">
        <w:rPr>
          <w:sz w:val="24"/>
          <w:szCs w:val="24"/>
        </w:rPr>
        <w:t>aterial</w:t>
      </w:r>
      <w:r w:rsidR="00545D72">
        <w:rPr>
          <w:sz w:val="24"/>
          <w:szCs w:val="24"/>
        </w:rPr>
        <w:t xml:space="preserve"> (Acórdãos </w:t>
      </w:r>
      <w:r w:rsidR="00D37119">
        <w:rPr>
          <w:sz w:val="24"/>
          <w:szCs w:val="24"/>
        </w:rPr>
        <w:t>1</w:t>
      </w:r>
      <w:r w:rsidR="00335D3C">
        <w:rPr>
          <w:sz w:val="24"/>
          <w:szCs w:val="24"/>
        </w:rPr>
        <w:t>63</w:t>
      </w:r>
      <w:r w:rsidR="00545D72">
        <w:rPr>
          <w:sz w:val="24"/>
          <w:szCs w:val="24"/>
        </w:rPr>
        <w:t>/201</w:t>
      </w:r>
      <w:r w:rsidR="00D37119">
        <w:rPr>
          <w:sz w:val="24"/>
          <w:szCs w:val="24"/>
        </w:rPr>
        <w:t>5</w:t>
      </w:r>
      <w:r w:rsidR="00545D72">
        <w:rPr>
          <w:sz w:val="24"/>
          <w:szCs w:val="24"/>
        </w:rPr>
        <w:t>-TCU-</w:t>
      </w:r>
      <w:r w:rsidR="00335D3C">
        <w:rPr>
          <w:sz w:val="24"/>
          <w:szCs w:val="24"/>
        </w:rPr>
        <w:t>2</w:t>
      </w:r>
      <w:r w:rsidR="00D37119">
        <w:rPr>
          <w:sz w:val="24"/>
          <w:szCs w:val="24"/>
        </w:rPr>
        <w:t>ª Câmara</w:t>
      </w:r>
      <w:r w:rsidR="00545D72">
        <w:rPr>
          <w:sz w:val="24"/>
          <w:szCs w:val="24"/>
        </w:rPr>
        <w:t>,</w:t>
      </w:r>
      <w:r w:rsidR="00545D72" w:rsidRPr="008906E5">
        <w:rPr>
          <w:sz w:val="24"/>
          <w:szCs w:val="24"/>
        </w:rPr>
        <w:t xml:space="preserve"> </w:t>
      </w:r>
      <w:r w:rsidR="00335D3C">
        <w:rPr>
          <w:sz w:val="24"/>
          <w:szCs w:val="24"/>
        </w:rPr>
        <w:t>2.685</w:t>
      </w:r>
      <w:r w:rsidR="00D37119">
        <w:rPr>
          <w:sz w:val="24"/>
          <w:szCs w:val="24"/>
        </w:rPr>
        <w:t>/2015-TCU</w:t>
      </w:r>
      <w:r w:rsidR="00EE2E99">
        <w:rPr>
          <w:sz w:val="24"/>
          <w:szCs w:val="24"/>
        </w:rPr>
        <w:t>-</w:t>
      </w:r>
      <w:r w:rsidR="00335D3C">
        <w:rPr>
          <w:sz w:val="24"/>
          <w:szCs w:val="24"/>
        </w:rPr>
        <w:t>2ª Câmara</w:t>
      </w:r>
      <w:r w:rsidR="00EE2E99">
        <w:rPr>
          <w:sz w:val="24"/>
          <w:szCs w:val="24"/>
        </w:rPr>
        <w:t>,</w:t>
      </w:r>
      <w:r w:rsidR="00EE2E99" w:rsidRPr="008906E5">
        <w:rPr>
          <w:sz w:val="24"/>
          <w:szCs w:val="24"/>
        </w:rPr>
        <w:t xml:space="preserve"> </w:t>
      </w:r>
      <w:r w:rsidR="00D37119">
        <w:rPr>
          <w:sz w:val="24"/>
          <w:szCs w:val="24"/>
        </w:rPr>
        <w:t>2.</w:t>
      </w:r>
      <w:r w:rsidR="00335D3C">
        <w:rPr>
          <w:sz w:val="24"/>
          <w:szCs w:val="24"/>
        </w:rPr>
        <w:t>801</w:t>
      </w:r>
      <w:r w:rsidR="00545D72">
        <w:rPr>
          <w:sz w:val="24"/>
          <w:szCs w:val="24"/>
        </w:rPr>
        <w:t>/201</w:t>
      </w:r>
      <w:r w:rsidR="00D37119">
        <w:rPr>
          <w:sz w:val="24"/>
          <w:szCs w:val="24"/>
        </w:rPr>
        <w:t>5</w:t>
      </w:r>
      <w:r w:rsidR="00545D72">
        <w:rPr>
          <w:sz w:val="24"/>
          <w:szCs w:val="24"/>
        </w:rPr>
        <w:t>-TCU-</w:t>
      </w:r>
      <w:r w:rsidR="00D37119">
        <w:rPr>
          <w:sz w:val="24"/>
          <w:szCs w:val="24"/>
        </w:rPr>
        <w:t>1</w:t>
      </w:r>
      <w:r w:rsidR="00545D72" w:rsidRPr="00232C42">
        <w:rPr>
          <w:sz w:val="24"/>
          <w:szCs w:val="24"/>
          <w:u w:val="single"/>
          <w:vertAlign w:val="superscript"/>
        </w:rPr>
        <w:t>a</w:t>
      </w:r>
      <w:r w:rsidR="00545D72">
        <w:rPr>
          <w:sz w:val="24"/>
          <w:szCs w:val="24"/>
        </w:rPr>
        <w:t xml:space="preserve"> Câmara,</w:t>
      </w:r>
      <w:r w:rsidR="00545D72" w:rsidRPr="008906E5">
        <w:rPr>
          <w:sz w:val="24"/>
          <w:szCs w:val="24"/>
        </w:rPr>
        <w:t xml:space="preserve"> </w:t>
      </w:r>
      <w:r w:rsidR="00335D3C">
        <w:rPr>
          <w:sz w:val="24"/>
          <w:szCs w:val="24"/>
        </w:rPr>
        <w:t>4</w:t>
      </w:r>
      <w:r w:rsidR="00D37119">
        <w:rPr>
          <w:sz w:val="24"/>
          <w:szCs w:val="24"/>
        </w:rPr>
        <w:t>.</w:t>
      </w:r>
      <w:r w:rsidR="00335D3C">
        <w:rPr>
          <w:sz w:val="24"/>
          <w:szCs w:val="24"/>
        </w:rPr>
        <w:t>340</w:t>
      </w:r>
      <w:r w:rsidR="00545D72">
        <w:rPr>
          <w:sz w:val="24"/>
          <w:szCs w:val="24"/>
        </w:rPr>
        <w:t>/20</w:t>
      </w:r>
      <w:r w:rsidR="00D37119">
        <w:rPr>
          <w:sz w:val="24"/>
          <w:szCs w:val="24"/>
        </w:rPr>
        <w:t>15</w:t>
      </w:r>
      <w:r w:rsidR="00545D72">
        <w:rPr>
          <w:sz w:val="24"/>
          <w:szCs w:val="24"/>
        </w:rPr>
        <w:t>-TCU-</w:t>
      </w:r>
      <w:r w:rsidR="00D37119">
        <w:rPr>
          <w:sz w:val="24"/>
          <w:szCs w:val="24"/>
        </w:rPr>
        <w:t>1</w:t>
      </w:r>
      <w:r w:rsidR="00545D72" w:rsidRPr="00232C42">
        <w:rPr>
          <w:sz w:val="24"/>
          <w:szCs w:val="24"/>
          <w:u w:val="single"/>
          <w:vertAlign w:val="superscript"/>
        </w:rPr>
        <w:t>a</w:t>
      </w:r>
      <w:r w:rsidR="00545D72">
        <w:rPr>
          <w:sz w:val="24"/>
          <w:szCs w:val="24"/>
        </w:rPr>
        <w:t xml:space="preserve"> Câmara</w:t>
      </w:r>
      <w:r w:rsidR="00335D3C">
        <w:rPr>
          <w:sz w:val="24"/>
          <w:szCs w:val="24"/>
        </w:rPr>
        <w:t xml:space="preserve"> e 5</w:t>
      </w:r>
      <w:r w:rsidR="00D37119">
        <w:rPr>
          <w:sz w:val="24"/>
          <w:szCs w:val="24"/>
        </w:rPr>
        <w:t>.</w:t>
      </w:r>
      <w:r w:rsidR="00335D3C">
        <w:rPr>
          <w:sz w:val="24"/>
          <w:szCs w:val="24"/>
        </w:rPr>
        <w:t>537</w:t>
      </w:r>
      <w:r w:rsidR="00EE2E99">
        <w:rPr>
          <w:sz w:val="24"/>
          <w:szCs w:val="24"/>
        </w:rPr>
        <w:t>/20</w:t>
      </w:r>
      <w:r w:rsidR="00D37119">
        <w:rPr>
          <w:sz w:val="24"/>
          <w:szCs w:val="24"/>
        </w:rPr>
        <w:t>1</w:t>
      </w:r>
      <w:r w:rsidR="00335D3C">
        <w:rPr>
          <w:sz w:val="24"/>
          <w:szCs w:val="24"/>
        </w:rPr>
        <w:t>5</w:t>
      </w:r>
      <w:r w:rsidR="00545D72">
        <w:rPr>
          <w:sz w:val="24"/>
          <w:szCs w:val="24"/>
        </w:rPr>
        <w:t>-TCU-</w:t>
      </w:r>
      <w:r w:rsidR="00D37119">
        <w:rPr>
          <w:sz w:val="24"/>
          <w:szCs w:val="24"/>
        </w:rPr>
        <w:t>1</w:t>
      </w:r>
      <w:r w:rsidR="00545D72" w:rsidRPr="00232C42">
        <w:rPr>
          <w:sz w:val="24"/>
          <w:szCs w:val="24"/>
          <w:u w:val="single"/>
          <w:vertAlign w:val="superscript"/>
        </w:rPr>
        <w:t>a</w:t>
      </w:r>
      <w:r w:rsidR="00545D72">
        <w:rPr>
          <w:sz w:val="24"/>
          <w:szCs w:val="24"/>
        </w:rPr>
        <w:t xml:space="preserve"> Câmara)</w:t>
      </w:r>
      <w:r w:rsidR="0087382B">
        <w:rPr>
          <w:sz w:val="24"/>
          <w:szCs w:val="24"/>
        </w:rPr>
        <w:t>.</w:t>
      </w:r>
    </w:p>
    <w:p w14:paraId="236478DF" w14:textId="34FB1390" w:rsidR="00D23D1C" w:rsidRDefault="002F083B" w:rsidP="00D23D1C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Nesse sentido, os </w:t>
      </w:r>
      <w:r w:rsidRPr="001779B1">
        <w:rPr>
          <w:sz w:val="24"/>
          <w:szCs w:val="24"/>
        </w:rPr>
        <w:t xml:space="preserve">documentos de </w:t>
      </w:r>
      <w:r w:rsidR="001779B1" w:rsidRPr="001779B1">
        <w:rPr>
          <w:sz w:val="24"/>
          <w:szCs w:val="24"/>
        </w:rPr>
        <w:t xml:space="preserve">peça </w:t>
      </w:r>
      <w:r w:rsidR="001779B1" w:rsidRPr="001779B1">
        <w:rPr>
          <w:color w:val="FF0000"/>
          <w:sz w:val="24"/>
          <w:szCs w:val="24"/>
        </w:rPr>
        <w:t>&lt;&lt;</w:t>
      </w:r>
      <w:proofErr w:type="spellStart"/>
      <w:r w:rsidR="001779B1" w:rsidRPr="001779B1">
        <w:rPr>
          <w:color w:val="FF0000"/>
          <w:sz w:val="24"/>
          <w:szCs w:val="24"/>
        </w:rPr>
        <w:t>xx</w:t>
      </w:r>
      <w:proofErr w:type="spellEnd"/>
      <w:r w:rsidR="001779B1" w:rsidRPr="001779B1">
        <w:rPr>
          <w:color w:val="FF0000"/>
          <w:sz w:val="24"/>
          <w:szCs w:val="24"/>
        </w:rPr>
        <w:t>&gt;&gt;</w:t>
      </w:r>
      <w:r w:rsidR="001779B1" w:rsidRPr="001779B1">
        <w:rPr>
          <w:sz w:val="24"/>
          <w:szCs w:val="24"/>
        </w:rPr>
        <w:t xml:space="preserve">, p. </w:t>
      </w:r>
      <w:r w:rsidR="001779B1" w:rsidRPr="001779B1">
        <w:rPr>
          <w:color w:val="FF0000"/>
          <w:sz w:val="24"/>
          <w:szCs w:val="24"/>
        </w:rPr>
        <w:t>&lt;&lt;</w:t>
      </w:r>
      <w:proofErr w:type="spellStart"/>
      <w:r w:rsidR="001779B1" w:rsidRPr="001779B1">
        <w:rPr>
          <w:color w:val="FF0000"/>
          <w:sz w:val="24"/>
          <w:szCs w:val="24"/>
        </w:rPr>
        <w:t>xx-xx</w:t>
      </w:r>
      <w:proofErr w:type="spellEnd"/>
      <w:r w:rsidR="001779B1" w:rsidRPr="001779B1">
        <w:rPr>
          <w:color w:val="FF0000"/>
          <w:sz w:val="24"/>
          <w:szCs w:val="24"/>
        </w:rPr>
        <w:t>&gt;&gt;</w:t>
      </w:r>
      <w:r w:rsidR="00E864FB" w:rsidRPr="001779B1">
        <w:rPr>
          <w:sz w:val="24"/>
          <w:szCs w:val="24"/>
        </w:rPr>
        <w:t xml:space="preserve"> </w:t>
      </w:r>
      <w:r w:rsidR="00E13AD2" w:rsidRPr="001779B1">
        <w:rPr>
          <w:sz w:val="24"/>
          <w:szCs w:val="24"/>
        </w:rPr>
        <w:t>permitem</w:t>
      </w:r>
      <w:r w:rsidR="00D23D1C">
        <w:rPr>
          <w:sz w:val="24"/>
          <w:szCs w:val="24"/>
        </w:rPr>
        <w:t xml:space="preserve"> deduzir que </w:t>
      </w:r>
      <w:r w:rsidR="00E70063">
        <w:rPr>
          <w:color w:val="FF0000"/>
          <w:sz w:val="24"/>
          <w:szCs w:val="24"/>
        </w:rPr>
        <w:t>&lt;&lt;</w:t>
      </w:r>
      <w:r>
        <w:rPr>
          <w:color w:val="FF0000"/>
          <w:sz w:val="24"/>
          <w:szCs w:val="24"/>
        </w:rPr>
        <w:t>argumentos de</w:t>
      </w:r>
      <w:r w:rsidR="00E70063">
        <w:rPr>
          <w:color w:val="FF0000"/>
          <w:sz w:val="24"/>
          <w:szCs w:val="24"/>
        </w:rPr>
        <w:t xml:space="preserve"> defesa</w:t>
      </w:r>
      <w:r w:rsidR="00D23D1C" w:rsidRPr="00D23D1C">
        <w:rPr>
          <w:color w:val="FF0000"/>
          <w:sz w:val="24"/>
          <w:szCs w:val="24"/>
        </w:rPr>
        <w:t>&gt;&gt;</w:t>
      </w:r>
      <w:r w:rsidR="00D23D1C" w:rsidRPr="00D23D1C">
        <w:rPr>
          <w:sz w:val="24"/>
          <w:szCs w:val="24"/>
        </w:rPr>
        <w:t>.</w:t>
      </w:r>
      <w:r w:rsidR="00D23D1C">
        <w:rPr>
          <w:sz w:val="24"/>
          <w:szCs w:val="24"/>
        </w:rPr>
        <w:t xml:space="preserve"> </w:t>
      </w:r>
    </w:p>
    <w:p w14:paraId="607DCC84" w14:textId="77777777" w:rsidR="00D23D1C" w:rsidRPr="00D23D1C" w:rsidRDefault="00D23D1C" w:rsidP="00D23D1C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Essa documentação</w:t>
      </w:r>
      <w:r w:rsidR="002F083B">
        <w:rPr>
          <w:sz w:val="24"/>
          <w:szCs w:val="24"/>
        </w:rPr>
        <w:t xml:space="preserve"> deve</w:t>
      </w:r>
      <w:r>
        <w:rPr>
          <w:sz w:val="24"/>
          <w:szCs w:val="24"/>
        </w:rPr>
        <w:t xml:space="preserve"> ser aproveitada na defesa do Senhor </w:t>
      </w:r>
      <w:r w:rsidRPr="00D23D1C">
        <w:rPr>
          <w:color w:val="FF0000"/>
          <w:sz w:val="24"/>
          <w:szCs w:val="24"/>
        </w:rPr>
        <w:t>&lt;&lt;responsável sob análise&gt;&gt;</w:t>
      </w:r>
      <w:r>
        <w:rPr>
          <w:sz w:val="24"/>
          <w:szCs w:val="24"/>
        </w:rPr>
        <w:t xml:space="preserve">, uma vez que esclarece a situação e </w:t>
      </w:r>
      <w:r w:rsidR="007C4488">
        <w:rPr>
          <w:sz w:val="24"/>
          <w:szCs w:val="24"/>
        </w:rPr>
        <w:t>e</w:t>
      </w:r>
      <w:r>
        <w:rPr>
          <w:sz w:val="24"/>
          <w:szCs w:val="24"/>
        </w:rPr>
        <w:t>lide a irregularidade apontada.</w:t>
      </w:r>
    </w:p>
    <w:p w14:paraId="551BC50F" w14:textId="77777777" w:rsidR="00263D04" w:rsidRDefault="00D23D1C" w:rsidP="001C6F90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Dessa forma, restando descaracterizada a irregularidade, </w:t>
      </w:r>
      <w:r w:rsidR="001C6F90">
        <w:rPr>
          <w:sz w:val="24"/>
          <w:szCs w:val="24"/>
        </w:rPr>
        <w:t xml:space="preserve">devem as contas </w:t>
      </w:r>
      <w:r>
        <w:rPr>
          <w:sz w:val="24"/>
          <w:szCs w:val="24"/>
        </w:rPr>
        <w:t xml:space="preserve">do Senhor </w:t>
      </w:r>
      <w:r w:rsidRPr="00D23D1C">
        <w:rPr>
          <w:color w:val="FF0000"/>
          <w:sz w:val="24"/>
          <w:szCs w:val="24"/>
        </w:rPr>
        <w:t>&lt;&lt;responsável sob análise&gt;&gt;</w:t>
      </w:r>
      <w:r>
        <w:rPr>
          <w:sz w:val="24"/>
          <w:szCs w:val="24"/>
        </w:rPr>
        <w:t>, s</w:t>
      </w:r>
      <w:r w:rsidR="003A0E79">
        <w:rPr>
          <w:sz w:val="24"/>
          <w:szCs w:val="24"/>
        </w:rPr>
        <w:t>er</w:t>
      </w:r>
      <w:r w:rsidR="001C6F90" w:rsidRPr="001C6F90">
        <w:rPr>
          <w:sz w:val="24"/>
          <w:szCs w:val="24"/>
        </w:rPr>
        <w:t xml:space="preserve"> julga</w:t>
      </w:r>
      <w:r w:rsidR="001C6F90">
        <w:rPr>
          <w:sz w:val="24"/>
          <w:szCs w:val="24"/>
        </w:rPr>
        <w:t>das</w:t>
      </w:r>
      <w:r w:rsidR="001C6F90" w:rsidRPr="001C6F90">
        <w:rPr>
          <w:sz w:val="24"/>
          <w:szCs w:val="24"/>
        </w:rPr>
        <w:t xml:space="preserve"> </w:t>
      </w:r>
      <w:r>
        <w:rPr>
          <w:sz w:val="24"/>
          <w:szCs w:val="24"/>
        </w:rPr>
        <w:t>regulares</w:t>
      </w:r>
      <w:r w:rsidR="001C6F90" w:rsidRPr="001C6F90">
        <w:rPr>
          <w:sz w:val="24"/>
          <w:szCs w:val="24"/>
        </w:rPr>
        <w:t>,</w:t>
      </w:r>
      <w:r w:rsidR="001C6F90">
        <w:rPr>
          <w:sz w:val="24"/>
          <w:szCs w:val="24"/>
        </w:rPr>
        <w:t xml:space="preserve"> </w:t>
      </w:r>
      <w:r>
        <w:rPr>
          <w:sz w:val="24"/>
          <w:szCs w:val="24"/>
        </w:rPr>
        <w:t>com quitação plena</w:t>
      </w:r>
      <w:r w:rsidR="003A0E79">
        <w:rPr>
          <w:sz w:val="24"/>
          <w:szCs w:val="24"/>
        </w:rPr>
        <w:t xml:space="preserve">, com fundamento nos </w:t>
      </w:r>
      <w:proofErr w:type="spellStart"/>
      <w:r w:rsidR="003A0E79">
        <w:rPr>
          <w:sz w:val="24"/>
          <w:szCs w:val="24"/>
        </w:rPr>
        <w:t>arts</w:t>
      </w:r>
      <w:proofErr w:type="spellEnd"/>
      <w:r w:rsidR="003A0E79">
        <w:rPr>
          <w:sz w:val="24"/>
          <w:szCs w:val="24"/>
        </w:rPr>
        <w:t xml:space="preserve">. </w:t>
      </w:r>
      <w:r w:rsidR="003A0E79" w:rsidRPr="003A0E79">
        <w:rPr>
          <w:color w:val="FF0000"/>
          <w:sz w:val="24"/>
          <w:szCs w:val="24"/>
        </w:rPr>
        <w:t>&lt;&lt;fundamentação legal&gt;&gt;</w:t>
      </w:r>
      <w:r w:rsidR="003A0E79">
        <w:rPr>
          <w:sz w:val="24"/>
          <w:szCs w:val="24"/>
        </w:rPr>
        <w:t xml:space="preserve">. </w:t>
      </w:r>
    </w:p>
    <w:p w14:paraId="6F28894B" w14:textId="5EA3B526" w:rsidR="00D37119" w:rsidRPr="00E70063" w:rsidRDefault="00D37119" w:rsidP="008E4BC4">
      <w:pPr>
        <w:spacing w:before="360"/>
        <w:rPr>
          <w:color w:val="365F91" w:themeColor="accent1" w:themeShade="BF"/>
        </w:rPr>
      </w:pPr>
      <w:r w:rsidRPr="00E70063">
        <w:rPr>
          <w:rFonts w:eastAsia="Times New Roman"/>
          <w:color w:val="365F91" w:themeColor="accent1" w:themeShade="BF"/>
          <w:lang w:eastAsia="pt-BR"/>
        </w:rPr>
        <w:t>Á</w:t>
      </w:r>
      <w:r w:rsidRPr="00E70063">
        <w:rPr>
          <w:rFonts w:eastAsia="Times New Roman"/>
          <w:color w:val="365F91" w:themeColor="accent1" w:themeShade="BF"/>
        </w:rPr>
        <w:t xml:space="preserve">rea: </w:t>
      </w:r>
      <w:r w:rsidR="00E70063">
        <w:rPr>
          <w:rFonts w:eastAsia="Times New Roman"/>
          <w:color w:val="365F91" w:themeColor="accent1" w:themeShade="BF"/>
        </w:rPr>
        <w:t>Processual</w:t>
      </w:r>
      <w:r w:rsidRPr="00E70063">
        <w:rPr>
          <w:rFonts w:eastAsia="Times New Roman"/>
          <w:color w:val="365F91" w:themeColor="accent1" w:themeShade="BF"/>
        </w:rPr>
        <w:t xml:space="preserve">; </w:t>
      </w:r>
      <w:r w:rsidRPr="00E70063">
        <w:rPr>
          <w:rFonts w:eastAsia="Times New Roman"/>
          <w:color w:val="365F91" w:themeColor="accent1" w:themeShade="BF"/>
          <w:lang w:eastAsia="pt-BR"/>
        </w:rPr>
        <w:t>tema: Part</w:t>
      </w:r>
      <w:r w:rsidR="008E4BC4">
        <w:rPr>
          <w:rFonts w:eastAsia="Times New Roman"/>
          <w:color w:val="365F91" w:themeColor="accent1" w:themeShade="BF"/>
          <w:lang w:eastAsia="pt-BR"/>
        </w:rPr>
        <w:t>e e terceiro; subtema: Revelia.</w:t>
      </w:r>
    </w:p>
    <w:p w14:paraId="0127F7BD" w14:textId="77777777" w:rsidR="00D37119" w:rsidRDefault="00D37119" w:rsidP="008E4BC4">
      <w:pPr>
        <w:pStyle w:val="Corpodetexto"/>
        <w:spacing w:before="360" w:after="120"/>
        <w:ind w:firstLine="1134"/>
        <w:rPr>
          <w:sz w:val="24"/>
          <w:szCs w:val="24"/>
        </w:rPr>
      </w:pPr>
    </w:p>
    <w:sectPr w:rsidR="00D37119" w:rsidSect="00355C84">
      <w:footnotePr>
        <w:pos w:val="beneathText"/>
      </w:footnotePr>
      <w:pgSz w:w="11905" w:h="16837"/>
      <w:pgMar w:top="1418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5"/>
    <w:rsid w:val="00085931"/>
    <w:rsid w:val="0009072F"/>
    <w:rsid w:val="00116DE9"/>
    <w:rsid w:val="00123E7C"/>
    <w:rsid w:val="00151BC6"/>
    <w:rsid w:val="001779B1"/>
    <w:rsid w:val="001852E6"/>
    <w:rsid w:val="001C6F90"/>
    <w:rsid w:val="001E24B7"/>
    <w:rsid w:val="001E5C42"/>
    <w:rsid w:val="001F40E9"/>
    <w:rsid w:val="00201E0D"/>
    <w:rsid w:val="00211D7E"/>
    <w:rsid w:val="00225ED9"/>
    <w:rsid w:val="002330C1"/>
    <w:rsid w:val="00262689"/>
    <w:rsid w:val="00263D04"/>
    <w:rsid w:val="00275471"/>
    <w:rsid w:val="0027671B"/>
    <w:rsid w:val="002778B1"/>
    <w:rsid w:val="002D49AD"/>
    <w:rsid w:val="002E0611"/>
    <w:rsid w:val="002F083B"/>
    <w:rsid w:val="003241C6"/>
    <w:rsid w:val="00335D3C"/>
    <w:rsid w:val="00355C84"/>
    <w:rsid w:val="00362DFD"/>
    <w:rsid w:val="003A0E79"/>
    <w:rsid w:val="004072A5"/>
    <w:rsid w:val="00437265"/>
    <w:rsid w:val="0049709E"/>
    <w:rsid w:val="004D6E2E"/>
    <w:rsid w:val="004D7199"/>
    <w:rsid w:val="004E5603"/>
    <w:rsid w:val="005153BE"/>
    <w:rsid w:val="00541991"/>
    <w:rsid w:val="00545D72"/>
    <w:rsid w:val="005B4974"/>
    <w:rsid w:val="00647466"/>
    <w:rsid w:val="006638DA"/>
    <w:rsid w:val="00680788"/>
    <w:rsid w:val="00697B4C"/>
    <w:rsid w:val="006C11AD"/>
    <w:rsid w:val="00716766"/>
    <w:rsid w:val="00751A7E"/>
    <w:rsid w:val="0077495C"/>
    <w:rsid w:val="00786247"/>
    <w:rsid w:val="00787DF6"/>
    <w:rsid w:val="007909A6"/>
    <w:rsid w:val="007C133C"/>
    <w:rsid w:val="007C4488"/>
    <w:rsid w:val="007D1D86"/>
    <w:rsid w:val="007F72B4"/>
    <w:rsid w:val="00801DB8"/>
    <w:rsid w:val="008200A5"/>
    <w:rsid w:val="00845D19"/>
    <w:rsid w:val="00846F02"/>
    <w:rsid w:val="00864C40"/>
    <w:rsid w:val="00872FA6"/>
    <w:rsid w:val="0087382B"/>
    <w:rsid w:val="0088505F"/>
    <w:rsid w:val="008906E5"/>
    <w:rsid w:val="008E4BC4"/>
    <w:rsid w:val="00902C79"/>
    <w:rsid w:val="0091242D"/>
    <w:rsid w:val="009B3157"/>
    <w:rsid w:val="00A02103"/>
    <w:rsid w:val="00A12954"/>
    <w:rsid w:val="00A21D66"/>
    <w:rsid w:val="00A24285"/>
    <w:rsid w:val="00A663FC"/>
    <w:rsid w:val="00A809C5"/>
    <w:rsid w:val="00B73B3C"/>
    <w:rsid w:val="00BA15C9"/>
    <w:rsid w:val="00BB58D3"/>
    <w:rsid w:val="00BF1AE8"/>
    <w:rsid w:val="00C11AC3"/>
    <w:rsid w:val="00C61AA2"/>
    <w:rsid w:val="00C643D6"/>
    <w:rsid w:val="00CC4EA4"/>
    <w:rsid w:val="00CD60F9"/>
    <w:rsid w:val="00D23D1C"/>
    <w:rsid w:val="00D37119"/>
    <w:rsid w:val="00D55005"/>
    <w:rsid w:val="00D77869"/>
    <w:rsid w:val="00D91DE2"/>
    <w:rsid w:val="00DA68A8"/>
    <w:rsid w:val="00DE2D91"/>
    <w:rsid w:val="00E13AD2"/>
    <w:rsid w:val="00E70063"/>
    <w:rsid w:val="00E864FB"/>
    <w:rsid w:val="00E87A80"/>
    <w:rsid w:val="00EE2E99"/>
    <w:rsid w:val="00F00866"/>
    <w:rsid w:val="00F43727"/>
    <w:rsid w:val="00F4770E"/>
    <w:rsid w:val="00F77B43"/>
    <w:rsid w:val="00F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57DB"/>
  <w15:docId w15:val="{1F7C68BF-8ABA-4ECF-8DEA-2129386D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84"/>
    <w:pPr>
      <w:suppressAutoHyphens/>
      <w:spacing w:after="120"/>
      <w:jc w:val="both"/>
    </w:pPr>
    <w:rPr>
      <w:rFonts w:eastAsia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rsid w:val="00355C84"/>
  </w:style>
  <w:style w:type="character" w:customStyle="1" w:styleId="BodyTextChar">
    <w:name w:val="Body Text Char"/>
    <w:rsid w:val="00355C84"/>
    <w:rPr>
      <w:rFonts w:eastAsia="Times New Roman"/>
    </w:rPr>
  </w:style>
  <w:style w:type="character" w:styleId="Hyperlink">
    <w:name w:val="Hyperlink"/>
    <w:semiHidden/>
    <w:rsid w:val="00355C84"/>
    <w:rPr>
      <w:color w:val="000000"/>
      <w:u w:val="single"/>
    </w:rPr>
  </w:style>
  <w:style w:type="paragraph" w:customStyle="1" w:styleId="Captulo">
    <w:name w:val="Capítulo"/>
    <w:basedOn w:val="Normal"/>
    <w:next w:val="Corpodetexto"/>
    <w:rsid w:val="00355C84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355C84"/>
    <w:pPr>
      <w:spacing w:after="0"/>
    </w:pPr>
    <w:rPr>
      <w:rFonts w:eastAsia="Times New Roman"/>
      <w:sz w:val="20"/>
      <w:szCs w:val="20"/>
    </w:rPr>
  </w:style>
  <w:style w:type="paragraph" w:styleId="Lista">
    <w:name w:val="List"/>
    <w:basedOn w:val="Corpodetexto"/>
    <w:semiHidden/>
    <w:rsid w:val="00355C84"/>
    <w:rPr>
      <w:rFonts w:cs="Tahoma"/>
    </w:rPr>
  </w:style>
  <w:style w:type="paragraph" w:customStyle="1" w:styleId="Legenda1">
    <w:name w:val="Legenda1"/>
    <w:basedOn w:val="Normal"/>
    <w:rsid w:val="00355C84"/>
    <w:pPr>
      <w:suppressLineNumbers/>
      <w:spacing w:before="120"/>
    </w:pPr>
    <w:rPr>
      <w:rFonts w:cs="Tahoma"/>
      <w:i/>
      <w:iCs/>
    </w:rPr>
  </w:style>
  <w:style w:type="paragraph" w:customStyle="1" w:styleId="ndice">
    <w:name w:val="Índice"/>
    <w:basedOn w:val="Normal"/>
    <w:rsid w:val="00355C84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semiHidden/>
    <w:unhideWhenUsed/>
    <w:rsid w:val="00151BC6"/>
    <w:pPr>
      <w:suppressAutoHyphens w:val="0"/>
      <w:spacing w:after="0" w:line="360" w:lineRule="auto"/>
      <w:ind w:firstLine="1200"/>
      <w:jc w:val="left"/>
    </w:pPr>
    <w:rPr>
      <w:rFonts w:eastAsia="Times New Roman"/>
      <w:lang w:eastAsia="pt-BR"/>
    </w:rPr>
  </w:style>
  <w:style w:type="paragraph" w:styleId="Reviso">
    <w:name w:val="Revision"/>
    <w:hidden/>
    <w:uiPriority w:val="99"/>
    <w:semiHidden/>
    <w:rsid w:val="00D91DE2"/>
    <w:rPr>
      <w:rFonts w:eastAsia="Calibri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D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E2"/>
    <w:rPr>
      <w:rFonts w:ascii="Tahoma" w:eastAsia="Calibri" w:hAnsi="Tahoma" w:cs="Tahoma"/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7382B"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80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07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0788"/>
    <w:rPr>
      <w:rFonts w:eastAsia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0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0788"/>
    <w:rPr>
      <w:rFonts w:eastAsia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7</cp:revision>
  <cp:lastPrinted>2011-09-01T19:18:00Z</cp:lastPrinted>
  <dcterms:created xsi:type="dcterms:W3CDTF">2015-12-16T15:18:00Z</dcterms:created>
  <dcterms:modified xsi:type="dcterms:W3CDTF">2016-03-28T20:10:00Z</dcterms:modified>
</cp:coreProperties>
</file>