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77" w:rsidRPr="00121B77" w:rsidRDefault="00121B77" w:rsidP="00121B77">
      <w:pPr>
        <w:jc w:val="right"/>
        <w:rPr>
          <w:b/>
        </w:rPr>
      </w:pPr>
      <w:r w:rsidRPr="00121B77">
        <w:rPr>
          <w:b/>
        </w:rPr>
        <w:t>Revisado em 16/12/2015</w:t>
      </w:r>
    </w:p>
    <w:p w:rsidR="00A24285" w:rsidRPr="001114C9" w:rsidRDefault="00DA1C93" w:rsidP="00A24285">
      <w:r>
        <w:t xml:space="preserve">Tema </w:t>
      </w:r>
      <w:r w:rsidR="000A2D0F">
        <w:t>23</w:t>
      </w:r>
      <w:bookmarkStart w:id="0" w:name="_GoBack"/>
      <w:bookmarkEnd w:id="0"/>
      <w:r w:rsidR="002B6C13" w:rsidRPr="001114C9">
        <w:t xml:space="preserve"> </w:t>
      </w:r>
      <w:r w:rsidR="00FD61F4">
        <w:noBreakHyphen/>
      </w:r>
      <w:r w:rsidR="002B6C13" w:rsidRPr="001114C9">
        <w:t xml:space="preserve"> </w:t>
      </w:r>
      <w:r w:rsidR="00AD7CAD" w:rsidRPr="001114C9">
        <w:t>Existência de ação judicial e processo no TCU</w:t>
      </w:r>
      <w:r w:rsidR="00A24285" w:rsidRPr="001114C9">
        <w:t>.</w:t>
      </w:r>
    </w:p>
    <w:p w:rsidR="00BB58D3" w:rsidRPr="001114C9" w:rsidRDefault="002316E3" w:rsidP="00121B77">
      <w:pPr>
        <w:spacing w:before="360" w:after="360"/>
        <w:rPr>
          <w:rFonts w:eastAsia="Times New Roman"/>
          <w:b/>
          <w:bCs/>
          <w:color w:val="365F91"/>
        </w:rPr>
      </w:pPr>
      <w:r w:rsidRPr="001114C9">
        <w:rPr>
          <w:rFonts w:eastAsia="Times New Roman"/>
          <w:b/>
          <w:bCs/>
          <w:color w:val="365F91"/>
        </w:rPr>
        <w:t>A existência</w:t>
      </w:r>
      <w:r w:rsidR="00E52692">
        <w:rPr>
          <w:rFonts w:eastAsia="Times New Roman"/>
          <w:b/>
          <w:bCs/>
          <w:color w:val="365F91"/>
        </w:rPr>
        <w:t xml:space="preserve">, </w:t>
      </w:r>
      <w:r w:rsidRPr="001114C9">
        <w:rPr>
          <w:rFonts w:eastAsia="Times New Roman"/>
          <w:b/>
          <w:bCs/>
          <w:color w:val="365F91"/>
        </w:rPr>
        <w:t>por si só</w:t>
      </w:r>
      <w:r w:rsidR="00E52692">
        <w:rPr>
          <w:rFonts w:eastAsia="Times New Roman"/>
          <w:b/>
          <w:bCs/>
          <w:color w:val="365F91"/>
        </w:rPr>
        <w:t>,</w:t>
      </w:r>
      <w:r w:rsidRPr="001114C9">
        <w:rPr>
          <w:rFonts w:eastAsia="Times New Roman"/>
          <w:b/>
          <w:bCs/>
          <w:color w:val="365F91"/>
        </w:rPr>
        <w:t xml:space="preserve"> de ação judicial em curso sobre os fatos objeto de análise pelo TCU não gera relação de prejudicialidade a ensejar o sobrestamento dos autos nesta Corte até decisão judicial definitiva por força da independência das instâncias</w:t>
      </w:r>
      <w:r w:rsidR="002B6C13" w:rsidRPr="001114C9">
        <w:rPr>
          <w:rFonts w:eastAsia="Times New Roman"/>
          <w:b/>
          <w:bCs/>
          <w:color w:val="365F91"/>
        </w:rPr>
        <w:t>.</w:t>
      </w:r>
    </w:p>
    <w:p w:rsidR="00BE4EB9" w:rsidRDefault="00F84B4C" w:rsidP="00BE4EB9">
      <w:pPr>
        <w:pStyle w:val="Corpodetexto"/>
        <w:spacing w:before="120"/>
        <w:ind w:firstLine="1134"/>
        <w:rPr>
          <w:sz w:val="24"/>
          <w:szCs w:val="24"/>
        </w:rPr>
      </w:pPr>
      <w:r w:rsidRPr="001114C9">
        <w:rPr>
          <w:sz w:val="24"/>
          <w:szCs w:val="24"/>
        </w:rPr>
        <w:t>O responsável</w:t>
      </w:r>
      <w:r>
        <w:rPr>
          <w:sz w:val="24"/>
          <w:szCs w:val="24"/>
        </w:rPr>
        <w:t xml:space="preserve"> </w:t>
      </w:r>
      <w:r w:rsidR="003129F9">
        <w:rPr>
          <w:sz w:val="24"/>
          <w:szCs w:val="24"/>
        </w:rPr>
        <w:t xml:space="preserve">argumenta, conforme documento </w:t>
      </w:r>
      <w:r w:rsidR="003129F9" w:rsidRPr="00353477">
        <w:rPr>
          <w:sz w:val="24"/>
          <w:szCs w:val="24"/>
        </w:rPr>
        <w:t xml:space="preserve">de </w:t>
      </w:r>
      <w:r w:rsidR="00353477" w:rsidRPr="00353477">
        <w:rPr>
          <w:sz w:val="24"/>
          <w:szCs w:val="24"/>
        </w:rPr>
        <w:t xml:space="preserve">peça </w:t>
      </w:r>
      <w:r w:rsidR="00353477" w:rsidRPr="00353477">
        <w:rPr>
          <w:color w:val="FF0000"/>
          <w:sz w:val="24"/>
          <w:szCs w:val="24"/>
        </w:rPr>
        <w:t>&lt;&lt;</w:t>
      </w:r>
      <w:proofErr w:type="spellStart"/>
      <w:r w:rsidR="00353477" w:rsidRPr="00353477">
        <w:rPr>
          <w:color w:val="FF0000"/>
          <w:sz w:val="24"/>
          <w:szCs w:val="24"/>
        </w:rPr>
        <w:t>xx</w:t>
      </w:r>
      <w:proofErr w:type="spellEnd"/>
      <w:r w:rsidR="00353477" w:rsidRPr="00353477">
        <w:rPr>
          <w:color w:val="FF0000"/>
          <w:sz w:val="24"/>
          <w:szCs w:val="24"/>
        </w:rPr>
        <w:t>&gt;&gt;</w:t>
      </w:r>
      <w:r w:rsidR="00353477" w:rsidRPr="00353477">
        <w:rPr>
          <w:sz w:val="24"/>
          <w:szCs w:val="24"/>
        </w:rPr>
        <w:t xml:space="preserve">, p. </w:t>
      </w:r>
      <w:r w:rsidR="00353477" w:rsidRPr="00353477">
        <w:rPr>
          <w:color w:val="FF0000"/>
          <w:sz w:val="24"/>
          <w:szCs w:val="24"/>
        </w:rPr>
        <w:t>&lt;&lt;</w:t>
      </w:r>
      <w:proofErr w:type="spellStart"/>
      <w:r w:rsidR="00353477" w:rsidRPr="00353477">
        <w:rPr>
          <w:color w:val="FF0000"/>
          <w:sz w:val="24"/>
          <w:szCs w:val="24"/>
        </w:rPr>
        <w:t>xx-xx</w:t>
      </w:r>
      <w:proofErr w:type="spellEnd"/>
      <w:r w:rsidR="00353477" w:rsidRPr="00353477">
        <w:rPr>
          <w:color w:val="FF0000"/>
          <w:sz w:val="24"/>
          <w:szCs w:val="24"/>
        </w:rPr>
        <w:t>&gt;&gt;</w:t>
      </w:r>
      <w:r w:rsidR="00017BDF" w:rsidRPr="00353477">
        <w:rPr>
          <w:sz w:val="24"/>
          <w:szCs w:val="24"/>
        </w:rPr>
        <w:t>,</w:t>
      </w:r>
      <w:r w:rsidR="00017BDF">
        <w:rPr>
          <w:sz w:val="24"/>
          <w:szCs w:val="24"/>
        </w:rPr>
        <w:t xml:space="preserve"> </w:t>
      </w:r>
      <w:r w:rsidR="003129F9">
        <w:rPr>
          <w:sz w:val="24"/>
          <w:szCs w:val="24"/>
        </w:rPr>
        <w:t xml:space="preserve">que já tramita </w:t>
      </w:r>
      <w:r w:rsidR="00B20D31">
        <w:rPr>
          <w:color w:val="FF0000"/>
          <w:sz w:val="24"/>
          <w:szCs w:val="24"/>
        </w:rPr>
        <w:t>&lt;&lt;</w:t>
      </w:r>
      <w:r w:rsidR="003129F9" w:rsidRPr="003129F9">
        <w:rPr>
          <w:color w:val="FF0000"/>
          <w:sz w:val="24"/>
          <w:szCs w:val="24"/>
        </w:rPr>
        <w:t xml:space="preserve">na esfera judicial </w:t>
      </w:r>
      <w:r w:rsidR="00B20D31">
        <w:rPr>
          <w:color w:val="FF0000"/>
          <w:sz w:val="24"/>
          <w:szCs w:val="24"/>
        </w:rPr>
        <w:t>mencionada</w:t>
      </w:r>
      <w:r w:rsidR="003129F9" w:rsidRPr="003129F9">
        <w:rPr>
          <w:color w:val="FF0000"/>
          <w:sz w:val="24"/>
          <w:szCs w:val="24"/>
        </w:rPr>
        <w:t>&gt;&gt;</w:t>
      </w:r>
      <w:r w:rsidR="003129F9">
        <w:rPr>
          <w:sz w:val="24"/>
          <w:szCs w:val="24"/>
        </w:rPr>
        <w:t xml:space="preserve"> o processo </w:t>
      </w:r>
      <w:r w:rsidR="00B20D31">
        <w:rPr>
          <w:color w:val="FF0000"/>
          <w:sz w:val="24"/>
          <w:szCs w:val="24"/>
        </w:rPr>
        <w:t>&lt;&lt;</w:t>
      </w:r>
      <w:r w:rsidR="003129F9" w:rsidRPr="003129F9">
        <w:rPr>
          <w:color w:val="FF0000"/>
          <w:sz w:val="24"/>
          <w:szCs w:val="24"/>
        </w:rPr>
        <w:t>nº do processo&gt;&gt;</w:t>
      </w:r>
      <w:r w:rsidR="003129F9">
        <w:rPr>
          <w:sz w:val="24"/>
          <w:szCs w:val="24"/>
        </w:rPr>
        <w:t>, tratando dos mesmos fatos aqui analisado</w:t>
      </w:r>
      <w:r w:rsidR="003129F9" w:rsidRPr="003129F9">
        <w:rPr>
          <w:sz w:val="24"/>
          <w:szCs w:val="24"/>
        </w:rPr>
        <w:t>s,</w:t>
      </w:r>
      <w:r w:rsidR="003129F9">
        <w:rPr>
          <w:sz w:val="24"/>
          <w:szCs w:val="24"/>
        </w:rPr>
        <w:t xml:space="preserve"> e soli</w:t>
      </w:r>
      <w:r w:rsidR="00D23AA9">
        <w:rPr>
          <w:sz w:val="24"/>
          <w:szCs w:val="24"/>
        </w:rPr>
        <w:t>ci</w:t>
      </w:r>
      <w:r w:rsidR="003129F9">
        <w:rPr>
          <w:sz w:val="24"/>
          <w:szCs w:val="24"/>
        </w:rPr>
        <w:t>ta, por isso, o</w:t>
      </w:r>
      <w:r>
        <w:rPr>
          <w:sz w:val="24"/>
          <w:szCs w:val="24"/>
        </w:rPr>
        <w:t xml:space="preserve"> sobrestamento dos presentes autos</w:t>
      </w:r>
      <w:r w:rsidR="003129F9">
        <w:rPr>
          <w:sz w:val="24"/>
          <w:szCs w:val="24"/>
        </w:rPr>
        <w:t xml:space="preserve"> até que haja decisão judiciária definitiva sobre a questão</w:t>
      </w:r>
      <w:r w:rsidR="00BE4EB9">
        <w:rPr>
          <w:sz w:val="24"/>
          <w:szCs w:val="24"/>
        </w:rPr>
        <w:t>.</w:t>
      </w:r>
    </w:p>
    <w:p w:rsidR="00B20D31" w:rsidRDefault="003129F9" w:rsidP="003129F9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O</w:t>
      </w:r>
      <w:r w:rsidRPr="003129F9">
        <w:rPr>
          <w:sz w:val="24"/>
          <w:szCs w:val="24"/>
        </w:rPr>
        <w:t xml:space="preserve"> Tribunal de Contas da União possui jurisdição e competência próprias estabelecidas pela Constituição Federal</w:t>
      </w:r>
      <w:r>
        <w:rPr>
          <w:sz w:val="24"/>
          <w:szCs w:val="24"/>
        </w:rPr>
        <w:t xml:space="preserve"> e pela sua Lei Orgânica (Lei</w:t>
      </w:r>
      <w:r w:rsidRPr="003129F9">
        <w:rPr>
          <w:sz w:val="24"/>
          <w:szCs w:val="24"/>
        </w:rPr>
        <w:t xml:space="preserve"> 8.443/92)</w:t>
      </w:r>
      <w:r>
        <w:rPr>
          <w:sz w:val="24"/>
          <w:szCs w:val="24"/>
        </w:rPr>
        <w:t>. Por isso, não obsta</w:t>
      </w:r>
      <w:r w:rsidRPr="003129F9">
        <w:rPr>
          <w:sz w:val="24"/>
          <w:szCs w:val="24"/>
        </w:rPr>
        <w:t xml:space="preserve"> a sua atuação o fato de tramitar no âmbito do </w:t>
      </w:r>
      <w:r w:rsidR="00017BDF">
        <w:rPr>
          <w:sz w:val="24"/>
          <w:szCs w:val="24"/>
        </w:rPr>
        <w:t>p</w:t>
      </w:r>
      <w:r w:rsidRPr="003129F9">
        <w:rPr>
          <w:sz w:val="24"/>
          <w:szCs w:val="24"/>
        </w:rPr>
        <w:t xml:space="preserve">oder </w:t>
      </w:r>
      <w:r w:rsidR="00017BDF">
        <w:rPr>
          <w:sz w:val="24"/>
          <w:szCs w:val="24"/>
        </w:rPr>
        <w:t>j</w:t>
      </w:r>
      <w:r w:rsidRPr="003129F9">
        <w:rPr>
          <w:sz w:val="24"/>
          <w:szCs w:val="24"/>
        </w:rPr>
        <w:t xml:space="preserve">udiciário ação penal ou civil, versando sobre o mesmo assunto, dado o princípio </w:t>
      </w:r>
      <w:r w:rsidR="00B20D31">
        <w:rPr>
          <w:sz w:val="24"/>
          <w:szCs w:val="24"/>
        </w:rPr>
        <w:t xml:space="preserve">da independência das instâncias. </w:t>
      </w:r>
    </w:p>
    <w:p w:rsidR="003129F9" w:rsidRDefault="003129F9" w:rsidP="003129F9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Sobre esse tema,</w:t>
      </w:r>
      <w:r w:rsidRPr="003129F9">
        <w:rPr>
          <w:sz w:val="24"/>
          <w:szCs w:val="24"/>
        </w:rPr>
        <w:t xml:space="preserve"> o Supremo Tribunal Federal tem </w:t>
      </w:r>
      <w:r w:rsidR="00DE3582">
        <w:rPr>
          <w:sz w:val="24"/>
          <w:szCs w:val="24"/>
        </w:rPr>
        <w:t>apoiado</w:t>
      </w:r>
      <w:r w:rsidRPr="003129F9">
        <w:rPr>
          <w:sz w:val="24"/>
          <w:szCs w:val="24"/>
        </w:rPr>
        <w:t xml:space="preserve"> a tese da independência entre as instâncias administrativa e penal (Mandados de Segurança </w:t>
      </w:r>
      <w:r w:rsidR="00F63AC3">
        <w:rPr>
          <w:sz w:val="24"/>
          <w:szCs w:val="24"/>
        </w:rPr>
        <w:t>26.969-DF e 25.880-DF</w:t>
      </w:r>
      <w:r w:rsidRPr="003129F9">
        <w:rPr>
          <w:sz w:val="24"/>
          <w:szCs w:val="24"/>
        </w:rPr>
        <w:t>), no que é acompanhado pelo Superior Tribunal de Justiça (MS 7080-DF, MS 7138-DF e 7042-DF), corroborando, por extensão, o entendimento esposado por esta Corte de Contas.</w:t>
      </w:r>
    </w:p>
    <w:p w:rsidR="00B54956" w:rsidRDefault="00D20562" w:rsidP="001358C5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Nesse sentido</w:t>
      </w:r>
      <w:r w:rsidR="001358C5">
        <w:rPr>
          <w:sz w:val="24"/>
          <w:szCs w:val="24"/>
        </w:rPr>
        <w:t xml:space="preserve"> são os </w:t>
      </w:r>
      <w:r>
        <w:rPr>
          <w:sz w:val="24"/>
          <w:szCs w:val="24"/>
        </w:rPr>
        <w:t>Acórdãos</w:t>
      </w:r>
      <w:r w:rsidR="00B20D31">
        <w:rPr>
          <w:sz w:val="24"/>
          <w:szCs w:val="24"/>
        </w:rPr>
        <w:t xml:space="preserve"> 3036</w:t>
      </w:r>
      <w:r w:rsidR="003D2EDC">
        <w:rPr>
          <w:sz w:val="24"/>
          <w:szCs w:val="24"/>
        </w:rPr>
        <w:t xml:space="preserve">/2015-TCU </w:t>
      </w:r>
      <w:r w:rsidR="003D2EDC">
        <w:rPr>
          <w:sz w:val="24"/>
          <w:szCs w:val="24"/>
        </w:rPr>
        <w:noBreakHyphen/>
        <w:t xml:space="preserve"> Plenário, </w:t>
      </w:r>
      <w:r w:rsidR="00A02DFA">
        <w:rPr>
          <w:sz w:val="24"/>
          <w:szCs w:val="24"/>
        </w:rPr>
        <w:t xml:space="preserve">10.042/2015-TCU </w:t>
      </w:r>
      <w:r w:rsidR="00035EA2">
        <w:rPr>
          <w:sz w:val="24"/>
          <w:szCs w:val="24"/>
        </w:rPr>
        <w:noBreakHyphen/>
        <w:t xml:space="preserve"> </w:t>
      </w:r>
      <w:r w:rsidR="00A02DFA">
        <w:rPr>
          <w:sz w:val="24"/>
          <w:szCs w:val="24"/>
        </w:rPr>
        <w:t xml:space="preserve">2ª Câmara, </w:t>
      </w:r>
      <w:r w:rsidR="00DE7A1D">
        <w:rPr>
          <w:sz w:val="24"/>
          <w:szCs w:val="24"/>
        </w:rPr>
        <w:t>7.752</w:t>
      </w:r>
      <w:r w:rsidR="003D2EDC">
        <w:rPr>
          <w:sz w:val="24"/>
          <w:szCs w:val="24"/>
        </w:rPr>
        <w:t xml:space="preserve">-TCU </w:t>
      </w:r>
      <w:r w:rsidR="003D2EDC">
        <w:rPr>
          <w:sz w:val="24"/>
          <w:szCs w:val="24"/>
        </w:rPr>
        <w:noBreakHyphen/>
        <w:t xml:space="preserve"> </w:t>
      </w:r>
      <w:r w:rsidR="00DE7A1D">
        <w:rPr>
          <w:sz w:val="24"/>
          <w:szCs w:val="24"/>
        </w:rPr>
        <w:t>1</w:t>
      </w:r>
      <w:r w:rsidR="003D2EDC">
        <w:rPr>
          <w:sz w:val="24"/>
          <w:szCs w:val="24"/>
        </w:rPr>
        <w:t xml:space="preserve">ª </w:t>
      </w:r>
      <w:r w:rsidR="004509E0">
        <w:rPr>
          <w:sz w:val="24"/>
          <w:szCs w:val="24"/>
        </w:rPr>
        <w:t xml:space="preserve">Câmara, </w:t>
      </w:r>
      <w:r w:rsidR="00A02DFA">
        <w:rPr>
          <w:sz w:val="24"/>
          <w:szCs w:val="24"/>
        </w:rPr>
        <w:t xml:space="preserve">7.475/2015-TCU – 1ª Câmara, </w:t>
      </w:r>
      <w:r w:rsidR="004509E0">
        <w:rPr>
          <w:sz w:val="24"/>
          <w:szCs w:val="24"/>
        </w:rPr>
        <w:t>7.123</w:t>
      </w:r>
      <w:r w:rsidR="00D23AA9">
        <w:rPr>
          <w:sz w:val="24"/>
          <w:szCs w:val="24"/>
        </w:rPr>
        <w:t xml:space="preserve">/2014-TCU </w:t>
      </w:r>
      <w:r w:rsidR="003D2EDC">
        <w:rPr>
          <w:sz w:val="24"/>
          <w:szCs w:val="24"/>
        </w:rPr>
        <w:t>-</w:t>
      </w:r>
      <w:r w:rsidR="00D23AA9">
        <w:rPr>
          <w:sz w:val="24"/>
          <w:szCs w:val="24"/>
        </w:rPr>
        <w:t xml:space="preserve"> 1ª Câmara</w:t>
      </w:r>
      <w:r w:rsidRPr="00A91B44">
        <w:rPr>
          <w:sz w:val="24"/>
          <w:szCs w:val="24"/>
        </w:rPr>
        <w:t>.</w:t>
      </w:r>
    </w:p>
    <w:p w:rsidR="00D23AA9" w:rsidRPr="00876FD5" w:rsidRDefault="00D23AA9" w:rsidP="004509E0">
      <w:pPr>
        <w:spacing w:before="120"/>
        <w:ind w:firstLine="1134"/>
        <w:rPr>
          <w:bCs/>
          <w:sz w:val="22"/>
        </w:rPr>
      </w:pPr>
      <w:r w:rsidRPr="00305C2D">
        <w:rPr>
          <w:bCs/>
          <w:sz w:val="22"/>
        </w:rPr>
        <w:t>Assim, não cabe a suspensão do processo, conforme solicitado pelo responsável, considerando que a</w:t>
      </w:r>
      <w:r w:rsidR="004509E0">
        <w:rPr>
          <w:bCs/>
          <w:sz w:val="22"/>
        </w:rPr>
        <w:t xml:space="preserve"> </w:t>
      </w:r>
      <w:r w:rsidRPr="00305C2D">
        <w:rPr>
          <w:bCs/>
          <w:sz w:val="22"/>
        </w:rPr>
        <w:t>existência</w:t>
      </w:r>
      <w:r w:rsidR="00646AE7">
        <w:rPr>
          <w:bCs/>
          <w:sz w:val="22"/>
        </w:rPr>
        <w:t>,</w:t>
      </w:r>
      <w:r w:rsidRPr="00305C2D">
        <w:rPr>
          <w:bCs/>
          <w:sz w:val="22"/>
        </w:rPr>
        <w:t xml:space="preserve"> por si só</w:t>
      </w:r>
      <w:r w:rsidR="00646AE7">
        <w:rPr>
          <w:bCs/>
          <w:sz w:val="22"/>
        </w:rPr>
        <w:t>,</w:t>
      </w:r>
      <w:r w:rsidRPr="00305C2D">
        <w:rPr>
          <w:bCs/>
          <w:sz w:val="22"/>
        </w:rPr>
        <w:t xml:space="preserve"> </w:t>
      </w:r>
      <w:r w:rsidRPr="00876FD5">
        <w:rPr>
          <w:bCs/>
          <w:sz w:val="22"/>
        </w:rPr>
        <w:t xml:space="preserve">de ação judicial em curso sobre os fatos objeto de análise pelo TCU não gera relação de </w:t>
      </w:r>
      <w:proofErr w:type="spellStart"/>
      <w:r w:rsidRPr="00876FD5">
        <w:rPr>
          <w:bCs/>
          <w:sz w:val="22"/>
        </w:rPr>
        <w:t>prejudicialidade</w:t>
      </w:r>
      <w:proofErr w:type="spellEnd"/>
      <w:r w:rsidRPr="00876FD5">
        <w:rPr>
          <w:bCs/>
          <w:sz w:val="22"/>
        </w:rPr>
        <w:t xml:space="preserve"> a ensejar o sobrestamento dos autos nesta Corte até decisão judicial definitiva, por força da independência das instâncias.</w:t>
      </w:r>
    </w:p>
    <w:p w:rsidR="00BC39EF" w:rsidRPr="00F25468" w:rsidRDefault="004A17A8" w:rsidP="00121B77">
      <w:pPr>
        <w:spacing w:before="360" w:after="360"/>
        <w:rPr>
          <w:rFonts w:eastAsia="Times New Roman"/>
          <w:color w:val="365F91" w:themeColor="accent1" w:themeShade="BF"/>
          <w:lang w:eastAsia="pt-BR"/>
        </w:rPr>
      </w:pPr>
      <w:r w:rsidRPr="00F25468">
        <w:rPr>
          <w:rFonts w:eastAsia="Times New Roman"/>
          <w:color w:val="365F91" w:themeColor="accent1" w:themeShade="BF"/>
          <w:lang w:eastAsia="pt-BR"/>
        </w:rPr>
        <w:t>Área</w:t>
      </w:r>
      <w:r w:rsidR="00BC39EF" w:rsidRPr="00F25468">
        <w:rPr>
          <w:rFonts w:eastAsia="Times New Roman"/>
          <w:color w:val="365F91" w:themeColor="accent1" w:themeShade="BF"/>
        </w:rPr>
        <w:t xml:space="preserve">: </w:t>
      </w:r>
      <w:r w:rsidR="00BC39EF" w:rsidRPr="00F25468">
        <w:rPr>
          <w:rFonts w:eastAsia="Times New Roman"/>
          <w:color w:val="365F91" w:themeColor="accent1" w:themeShade="BF"/>
          <w:lang w:eastAsia="pt-BR"/>
        </w:rPr>
        <w:t>Processual; tema: Processo em geral; subtema: Independência d</w:t>
      </w:r>
      <w:r w:rsidR="00C348B1" w:rsidRPr="00F25468">
        <w:rPr>
          <w:rFonts w:eastAsia="Times New Roman"/>
          <w:color w:val="365F91" w:themeColor="accent1" w:themeShade="BF"/>
          <w:lang w:eastAsia="pt-BR"/>
        </w:rPr>
        <w:t>e</w:t>
      </w:r>
      <w:r w:rsidR="00BC39EF" w:rsidRPr="00F25468">
        <w:rPr>
          <w:rFonts w:eastAsia="Times New Roman"/>
          <w:color w:val="365F91" w:themeColor="accent1" w:themeShade="BF"/>
          <w:lang w:eastAsia="pt-BR"/>
        </w:rPr>
        <w:t xml:space="preserve"> instâncias</w:t>
      </w:r>
      <w:r w:rsidR="00121B77">
        <w:rPr>
          <w:rFonts w:eastAsia="Times New Roman"/>
          <w:color w:val="365F91" w:themeColor="accent1" w:themeShade="BF"/>
          <w:lang w:eastAsia="pt-BR"/>
        </w:rPr>
        <w:t>.</w:t>
      </w:r>
    </w:p>
    <w:p w:rsidR="00BC39EF" w:rsidRPr="001358C5" w:rsidRDefault="00BC39EF" w:rsidP="001358C5">
      <w:pPr>
        <w:pStyle w:val="Corpodetexto"/>
        <w:spacing w:before="120"/>
        <w:ind w:firstLine="1134"/>
        <w:rPr>
          <w:sz w:val="24"/>
          <w:szCs w:val="24"/>
        </w:rPr>
      </w:pPr>
    </w:p>
    <w:sectPr w:rsidR="00BC39EF" w:rsidRPr="001358C5" w:rsidSect="00897CBC">
      <w:footnotePr>
        <w:pos w:val="beneathText"/>
      </w:footnotePr>
      <w:pgSz w:w="11905" w:h="16837"/>
      <w:pgMar w:top="1418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5"/>
    <w:rsid w:val="00017BDF"/>
    <w:rsid w:val="00033CC0"/>
    <w:rsid w:val="00035EA2"/>
    <w:rsid w:val="000407F1"/>
    <w:rsid w:val="00085931"/>
    <w:rsid w:val="0009072F"/>
    <w:rsid w:val="000A2D0F"/>
    <w:rsid w:val="000E5D8C"/>
    <w:rsid w:val="001114C9"/>
    <w:rsid w:val="00116DE9"/>
    <w:rsid w:val="00121B77"/>
    <w:rsid w:val="001358C5"/>
    <w:rsid w:val="00151BC6"/>
    <w:rsid w:val="00167CF8"/>
    <w:rsid w:val="001852E6"/>
    <w:rsid w:val="001C722D"/>
    <w:rsid w:val="001E5C42"/>
    <w:rsid w:val="001F40E9"/>
    <w:rsid w:val="00201E0D"/>
    <w:rsid w:val="00211D7E"/>
    <w:rsid w:val="002316E3"/>
    <w:rsid w:val="00275471"/>
    <w:rsid w:val="0027671B"/>
    <w:rsid w:val="002778B1"/>
    <w:rsid w:val="002971A5"/>
    <w:rsid w:val="002B6C13"/>
    <w:rsid w:val="002E0611"/>
    <w:rsid w:val="003129F9"/>
    <w:rsid w:val="00353477"/>
    <w:rsid w:val="003A5AEE"/>
    <w:rsid w:val="003D2EDC"/>
    <w:rsid w:val="004072A5"/>
    <w:rsid w:val="004206BC"/>
    <w:rsid w:val="004509E0"/>
    <w:rsid w:val="00464E93"/>
    <w:rsid w:val="00482055"/>
    <w:rsid w:val="0049709E"/>
    <w:rsid w:val="004A17A8"/>
    <w:rsid w:val="004B2338"/>
    <w:rsid w:val="004D6E2E"/>
    <w:rsid w:val="0054462F"/>
    <w:rsid w:val="0063301D"/>
    <w:rsid w:val="00646AE7"/>
    <w:rsid w:val="006659E6"/>
    <w:rsid w:val="006822E3"/>
    <w:rsid w:val="006A2D80"/>
    <w:rsid w:val="006C11AD"/>
    <w:rsid w:val="00774940"/>
    <w:rsid w:val="00786247"/>
    <w:rsid w:val="00787DF6"/>
    <w:rsid w:val="007A1A3E"/>
    <w:rsid w:val="007C133C"/>
    <w:rsid w:val="007F72B4"/>
    <w:rsid w:val="00845D19"/>
    <w:rsid w:val="00854BAF"/>
    <w:rsid w:val="00872FA6"/>
    <w:rsid w:val="00897CBC"/>
    <w:rsid w:val="008F2F95"/>
    <w:rsid w:val="00902C79"/>
    <w:rsid w:val="0091242D"/>
    <w:rsid w:val="00967084"/>
    <w:rsid w:val="009D5E77"/>
    <w:rsid w:val="00A02103"/>
    <w:rsid w:val="00A02DFA"/>
    <w:rsid w:val="00A12954"/>
    <w:rsid w:val="00A21D66"/>
    <w:rsid w:val="00A24285"/>
    <w:rsid w:val="00A663FC"/>
    <w:rsid w:val="00A967ED"/>
    <w:rsid w:val="00AD7CAD"/>
    <w:rsid w:val="00B05E09"/>
    <w:rsid w:val="00B20D31"/>
    <w:rsid w:val="00B54956"/>
    <w:rsid w:val="00BA15C9"/>
    <w:rsid w:val="00BB58D3"/>
    <w:rsid w:val="00BC39EF"/>
    <w:rsid w:val="00BE4EB9"/>
    <w:rsid w:val="00BE5DF0"/>
    <w:rsid w:val="00C05461"/>
    <w:rsid w:val="00C11AC3"/>
    <w:rsid w:val="00C348B1"/>
    <w:rsid w:val="00C61AA2"/>
    <w:rsid w:val="00C83EBC"/>
    <w:rsid w:val="00CC4EA4"/>
    <w:rsid w:val="00CD60F9"/>
    <w:rsid w:val="00D20562"/>
    <w:rsid w:val="00D23AA9"/>
    <w:rsid w:val="00D35111"/>
    <w:rsid w:val="00D56B6F"/>
    <w:rsid w:val="00D77055"/>
    <w:rsid w:val="00D92A06"/>
    <w:rsid w:val="00DA1C93"/>
    <w:rsid w:val="00DB3E33"/>
    <w:rsid w:val="00DE2D91"/>
    <w:rsid w:val="00DE3321"/>
    <w:rsid w:val="00DE3582"/>
    <w:rsid w:val="00DE7A1D"/>
    <w:rsid w:val="00DF669D"/>
    <w:rsid w:val="00E52692"/>
    <w:rsid w:val="00EC7CB5"/>
    <w:rsid w:val="00F00866"/>
    <w:rsid w:val="00F25468"/>
    <w:rsid w:val="00F43727"/>
    <w:rsid w:val="00F4770E"/>
    <w:rsid w:val="00F63AC3"/>
    <w:rsid w:val="00F66E66"/>
    <w:rsid w:val="00F84B4C"/>
    <w:rsid w:val="00FD0D35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4C9CD-0B07-47D9-8765-6446C7A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CBC"/>
    <w:pPr>
      <w:suppressAutoHyphens/>
      <w:spacing w:after="120"/>
      <w:jc w:val="both"/>
    </w:pPr>
    <w:rPr>
      <w:rFonts w:eastAsia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  <w:rsid w:val="00897CBC"/>
  </w:style>
  <w:style w:type="character" w:customStyle="1" w:styleId="BodyTextChar">
    <w:name w:val="Body Text Char"/>
    <w:rsid w:val="00897CBC"/>
    <w:rPr>
      <w:rFonts w:eastAsia="Times New Roman"/>
    </w:rPr>
  </w:style>
  <w:style w:type="character" w:styleId="Hyperlink">
    <w:name w:val="Hyperlink"/>
    <w:semiHidden/>
    <w:rsid w:val="00897CBC"/>
    <w:rPr>
      <w:color w:val="000000"/>
      <w:u w:val="single"/>
    </w:rPr>
  </w:style>
  <w:style w:type="paragraph" w:customStyle="1" w:styleId="Captulo">
    <w:name w:val="Capítulo"/>
    <w:basedOn w:val="Normal"/>
    <w:next w:val="Corpodetexto"/>
    <w:rsid w:val="00897CBC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897CBC"/>
    <w:pPr>
      <w:spacing w:after="0"/>
    </w:pPr>
    <w:rPr>
      <w:rFonts w:eastAsia="Times New Roman"/>
      <w:sz w:val="20"/>
      <w:szCs w:val="20"/>
    </w:rPr>
  </w:style>
  <w:style w:type="paragraph" w:styleId="Lista">
    <w:name w:val="List"/>
    <w:basedOn w:val="Corpodetexto"/>
    <w:semiHidden/>
    <w:rsid w:val="00897CBC"/>
    <w:rPr>
      <w:rFonts w:cs="Tahoma"/>
    </w:rPr>
  </w:style>
  <w:style w:type="paragraph" w:customStyle="1" w:styleId="Legenda1">
    <w:name w:val="Legenda1"/>
    <w:basedOn w:val="Normal"/>
    <w:rsid w:val="00897CBC"/>
    <w:pPr>
      <w:suppressLineNumbers/>
      <w:spacing w:before="120"/>
    </w:pPr>
    <w:rPr>
      <w:rFonts w:cs="Tahoma"/>
      <w:i/>
      <w:iCs/>
    </w:rPr>
  </w:style>
  <w:style w:type="paragraph" w:customStyle="1" w:styleId="ndice">
    <w:name w:val="Índice"/>
    <w:basedOn w:val="Normal"/>
    <w:rsid w:val="00897CBC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semiHidden/>
    <w:unhideWhenUsed/>
    <w:rsid w:val="00151BC6"/>
    <w:pPr>
      <w:suppressAutoHyphens w:val="0"/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4EB9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9E0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TCU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7</cp:revision>
  <cp:lastPrinted>2011-09-02T13:01:00Z</cp:lastPrinted>
  <dcterms:created xsi:type="dcterms:W3CDTF">2015-12-16T12:46:00Z</dcterms:created>
  <dcterms:modified xsi:type="dcterms:W3CDTF">2016-03-28T20:11:00Z</dcterms:modified>
</cp:coreProperties>
</file>