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67CA5" w14:textId="6218A82C" w:rsidR="00BF2A7F" w:rsidRPr="00BF2A7F" w:rsidRDefault="00BF2A7F" w:rsidP="00BF2A7F">
      <w:pPr>
        <w:jc w:val="right"/>
        <w:rPr>
          <w:b/>
        </w:rPr>
      </w:pPr>
      <w:bookmarkStart w:id="0" w:name="_Toc236476629"/>
      <w:bookmarkStart w:id="1" w:name="_Toc236476625"/>
      <w:r w:rsidRPr="00BF2A7F">
        <w:rPr>
          <w:b/>
        </w:rPr>
        <w:t>Revisado em 25/2/2016</w:t>
      </w:r>
    </w:p>
    <w:p w14:paraId="18108664" w14:textId="7BDF0FFF" w:rsidR="00AE2D68" w:rsidRPr="00283277" w:rsidRDefault="00095C82" w:rsidP="00AE2D68">
      <w:r>
        <w:t>Tema</w:t>
      </w:r>
      <w:r w:rsidR="00AE2D68" w:rsidRPr="00283277">
        <w:t xml:space="preserve"> </w:t>
      </w:r>
      <w:r w:rsidR="00381CC5">
        <w:t>28</w:t>
      </w:r>
      <w:bookmarkStart w:id="2" w:name="_GoBack"/>
      <w:bookmarkEnd w:id="2"/>
      <w:r w:rsidR="00AE2D68" w:rsidRPr="00283277">
        <w:t xml:space="preserve"> </w:t>
      </w:r>
      <w:r w:rsidR="0088386D">
        <w:noBreakHyphen/>
      </w:r>
      <w:r w:rsidR="00AE2D68" w:rsidRPr="00283277">
        <w:t xml:space="preserve"> </w:t>
      </w:r>
      <w:bookmarkStart w:id="3" w:name="_Toc236476626"/>
      <w:r w:rsidR="00AE2D68" w:rsidRPr="00283277">
        <w:t xml:space="preserve">Ônus da prova </w:t>
      </w:r>
      <w:bookmarkEnd w:id="3"/>
      <w:r w:rsidR="00AE2D68" w:rsidRPr="00283277">
        <w:t>da regularidade da aplicação de recursos públicos.</w:t>
      </w:r>
    </w:p>
    <w:bookmarkEnd w:id="0"/>
    <w:p w14:paraId="21A87EAF" w14:textId="36DC57E9" w:rsidR="00023B84" w:rsidRPr="00283277" w:rsidRDefault="00E30CA0" w:rsidP="0015122C">
      <w:pPr>
        <w:pStyle w:val="Ttulo1"/>
        <w:spacing w:before="360"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execução da despesa pública, o ônus de comprovar a aplicação dos recursos recai sobre o gestor</w:t>
      </w:r>
      <w:r w:rsidR="00023B84" w:rsidRPr="00283277">
        <w:rPr>
          <w:rFonts w:ascii="Times New Roman" w:hAnsi="Times New Roman"/>
          <w:sz w:val="24"/>
          <w:szCs w:val="24"/>
        </w:rPr>
        <w:t>.</w:t>
      </w:r>
    </w:p>
    <w:bookmarkEnd w:id="1"/>
    <w:p w14:paraId="451A3C6E" w14:textId="0931F6FD" w:rsidR="002042B7" w:rsidRDefault="002042B7" w:rsidP="002042B7">
      <w:pPr>
        <w:pStyle w:val="Corpodetexto"/>
        <w:tabs>
          <w:tab w:val="num" w:pos="1560"/>
        </w:tabs>
        <w:spacing w:after="120"/>
        <w:ind w:firstLine="1134"/>
      </w:pPr>
      <w:r>
        <w:t xml:space="preserve">A alegação </w:t>
      </w:r>
      <w:r w:rsidR="003D4D48">
        <w:t xml:space="preserve">do responsável </w:t>
      </w:r>
      <w:r>
        <w:t xml:space="preserve">de que caberia ao TCU a produção de provas </w:t>
      </w:r>
      <w:r w:rsidR="003D4D48">
        <w:t xml:space="preserve">para comprovar a regularidade da aplicação dos recursos públicos repassados por convênio </w:t>
      </w:r>
      <w:r>
        <w:t>é recorrente n</w:t>
      </w:r>
      <w:r w:rsidR="003D4D48">
        <w:t>este T</w:t>
      </w:r>
      <w:r>
        <w:t>ribunal.</w:t>
      </w:r>
    </w:p>
    <w:p w14:paraId="2B9FA076" w14:textId="77777777" w:rsidR="0037668F" w:rsidRDefault="00283277">
      <w:pPr>
        <w:pStyle w:val="Corpodetexto"/>
        <w:tabs>
          <w:tab w:val="num" w:pos="1560"/>
        </w:tabs>
        <w:spacing w:after="120"/>
        <w:ind w:firstLine="1134"/>
      </w:pPr>
      <w:r>
        <w:t>Entretanto</w:t>
      </w:r>
      <w:r w:rsidR="007C1067">
        <w:t>, p</w:t>
      </w:r>
      <w:r w:rsidR="00023B84">
        <w:t xml:space="preserve">or força do que dispõe </w:t>
      </w:r>
      <w:r w:rsidR="00023B84" w:rsidRPr="009205DF">
        <w:t>o art. 70, parágrafo único, da Constituição Federal, bem assim o art. 93 do Decreto-</w:t>
      </w:r>
      <w:r w:rsidR="00023B84">
        <w:t>L</w:t>
      </w:r>
      <w:r w:rsidR="00023B84" w:rsidRPr="009205DF">
        <w:t>ei 200/1967 c/c o art. 66 do Decreto</w:t>
      </w:r>
      <w:r w:rsidR="00023B84">
        <w:t xml:space="preserve"> </w:t>
      </w:r>
      <w:r w:rsidR="00023B84" w:rsidRPr="009205DF">
        <w:t>93.872/1986</w:t>
      </w:r>
      <w:r w:rsidR="00023B84">
        <w:t xml:space="preserve">, </w:t>
      </w:r>
      <w:r w:rsidR="007C1067">
        <w:t xml:space="preserve">resta claro que </w:t>
      </w:r>
      <w:r>
        <w:t xml:space="preserve">tal comprovação </w:t>
      </w:r>
      <w:r w:rsidR="00023B84">
        <w:t>compete</w:t>
      </w:r>
      <w:r>
        <w:t xml:space="preserve"> exclusivamente</w:t>
      </w:r>
      <w:r w:rsidR="00023B84" w:rsidRPr="009205DF">
        <w:t xml:space="preserve"> ao gestor</w:t>
      </w:r>
      <w:r>
        <w:t xml:space="preserve"> dos recursos</w:t>
      </w:r>
      <w:r w:rsidR="00023B84">
        <w:t>.</w:t>
      </w:r>
      <w:r w:rsidR="00023B84" w:rsidRPr="009205DF">
        <w:t xml:space="preserve"> </w:t>
      </w:r>
    </w:p>
    <w:p w14:paraId="25DB8B30" w14:textId="7C15D7ED" w:rsidR="0037668F" w:rsidRDefault="006657A3">
      <w:pPr>
        <w:pStyle w:val="Corpodetexto"/>
        <w:tabs>
          <w:tab w:val="num" w:pos="1560"/>
        </w:tabs>
        <w:spacing w:after="120"/>
        <w:ind w:firstLine="1134"/>
      </w:pPr>
      <w:r>
        <w:t xml:space="preserve">Tal entendimento está </w:t>
      </w:r>
      <w:r w:rsidR="00283277">
        <w:t xml:space="preserve">consolidado nesta Corte de Contas, </w:t>
      </w:r>
      <w:r w:rsidR="00023B84">
        <w:t xml:space="preserve">conforme se verifica nos </w:t>
      </w:r>
      <w:r w:rsidR="00A26687">
        <w:t>A</w:t>
      </w:r>
      <w:r w:rsidR="00023B84">
        <w:t>córdãos</w:t>
      </w:r>
      <w:r w:rsidR="00BE7A7B">
        <w:t xml:space="preserve"> </w:t>
      </w:r>
      <w:r w:rsidR="00E30CA0">
        <w:t>1.577/2014</w:t>
      </w:r>
      <w:r w:rsidR="00BE7A7B">
        <w:t>-TCU-</w:t>
      </w:r>
      <w:r w:rsidR="00E30CA0">
        <w:t>2ª Câmara</w:t>
      </w:r>
      <w:r w:rsidR="00BE7A7B">
        <w:t xml:space="preserve">, </w:t>
      </w:r>
      <w:r w:rsidR="00D85941">
        <w:t xml:space="preserve">6.716/2015-TCU-1ª Câmara, </w:t>
      </w:r>
      <w:r w:rsidR="00ED255C">
        <w:t xml:space="preserve">9.254/2015-TCU-2ª Câmara, </w:t>
      </w:r>
      <w:r w:rsidR="002B2CF8">
        <w:t>9.820/2015-TCU-2ª Câmara</w:t>
      </w:r>
      <w:r w:rsidR="00D85941">
        <w:t xml:space="preserve"> e</w:t>
      </w:r>
      <w:r w:rsidR="006F2980">
        <w:t xml:space="preserve"> </w:t>
      </w:r>
      <w:r w:rsidR="008E1073">
        <w:t>659/2016</w:t>
      </w:r>
      <w:r w:rsidR="00BE7A7B">
        <w:t>-TCU-2</w:t>
      </w:r>
      <w:r w:rsidR="00BE7A7B">
        <w:rPr>
          <w:u w:val="single"/>
          <w:vertAlign w:val="superscript"/>
        </w:rPr>
        <w:t>a</w:t>
      </w:r>
      <w:r w:rsidR="00BE7A7B" w:rsidRPr="008E5EA4">
        <w:t> Câmara</w:t>
      </w:r>
      <w:r w:rsidR="00023B84" w:rsidRPr="009205DF">
        <w:t>.</w:t>
      </w:r>
    </w:p>
    <w:p w14:paraId="2B13290B" w14:textId="66DC413B" w:rsidR="00ED255C" w:rsidRDefault="00ED255C">
      <w:pPr>
        <w:pStyle w:val="Corpodetexto"/>
        <w:tabs>
          <w:tab w:val="num" w:pos="1560"/>
        </w:tabs>
        <w:spacing w:after="120"/>
        <w:ind w:firstLine="1134"/>
      </w:pPr>
      <w:r>
        <w:t xml:space="preserve">Desse modo, </w:t>
      </w:r>
      <w:r w:rsidR="00714F5A">
        <w:t xml:space="preserve">ao contrário do que supõe o responsável, </w:t>
      </w:r>
      <w:r>
        <w:t>o ônus da prova recai sobre o gestor e não sobre o TCU, devendo o gestor fornecer todas as provas da regular aplicação dos recursos sob sua responsabilidade, em conformidade com os normativos vigentes e reiterada jurisprudência do TCU.</w:t>
      </w:r>
    </w:p>
    <w:p w14:paraId="6FE5E03F" w14:textId="6626FCA8" w:rsidR="008D2CD0" w:rsidRPr="00283277" w:rsidRDefault="008D2CD0" w:rsidP="0015122C">
      <w:pPr>
        <w:spacing w:before="360"/>
        <w:rPr>
          <w:color w:val="000000"/>
          <w:lang w:eastAsia="pt-BR"/>
        </w:rPr>
      </w:pPr>
      <w:r w:rsidRPr="00E30CA0">
        <w:rPr>
          <w:color w:val="365F91" w:themeColor="accent1" w:themeShade="BF"/>
          <w:lang w:eastAsia="pt-BR"/>
        </w:rPr>
        <w:t>Área: Processual; Tema: Prova; Subtema: Ônus da apresentação</w:t>
      </w:r>
      <w:r w:rsidR="00BF2A7F">
        <w:rPr>
          <w:color w:val="365F91" w:themeColor="accent1" w:themeShade="BF"/>
          <w:lang w:eastAsia="pt-BR"/>
        </w:rPr>
        <w:t>.</w:t>
      </w:r>
    </w:p>
    <w:sectPr w:rsidR="008D2CD0" w:rsidRPr="00283277" w:rsidSect="00FB3BA6">
      <w:pgSz w:w="11906" w:h="16838" w:code="9"/>
      <w:pgMar w:top="1418" w:right="567" w:bottom="851" w:left="1134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E4"/>
    <w:rsid w:val="00023B84"/>
    <w:rsid w:val="00034214"/>
    <w:rsid w:val="00056B5F"/>
    <w:rsid w:val="0007270D"/>
    <w:rsid w:val="00095C82"/>
    <w:rsid w:val="000B165A"/>
    <w:rsid w:val="000B2AFA"/>
    <w:rsid w:val="000B312C"/>
    <w:rsid w:val="000B641A"/>
    <w:rsid w:val="000E6BFD"/>
    <w:rsid w:val="0010478C"/>
    <w:rsid w:val="0015122C"/>
    <w:rsid w:val="001E3722"/>
    <w:rsid w:val="001E4147"/>
    <w:rsid w:val="001F3A14"/>
    <w:rsid w:val="001F759F"/>
    <w:rsid w:val="002042B7"/>
    <w:rsid w:val="002051D2"/>
    <w:rsid w:val="00223085"/>
    <w:rsid w:val="00223781"/>
    <w:rsid w:val="00283277"/>
    <w:rsid w:val="00287691"/>
    <w:rsid w:val="0029298E"/>
    <w:rsid w:val="002A3B30"/>
    <w:rsid w:val="002A3B3F"/>
    <w:rsid w:val="002B2CF8"/>
    <w:rsid w:val="002D6145"/>
    <w:rsid w:val="002F1839"/>
    <w:rsid w:val="0037668F"/>
    <w:rsid w:val="00381CC5"/>
    <w:rsid w:val="0039707F"/>
    <w:rsid w:val="003B4FEF"/>
    <w:rsid w:val="003D4D48"/>
    <w:rsid w:val="003F2C81"/>
    <w:rsid w:val="004325C2"/>
    <w:rsid w:val="0047285B"/>
    <w:rsid w:val="00475EB5"/>
    <w:rsid w:val="004B6456"/>
    <w:rsid w:val="00511051"/>
    <w:rsid w:val="005C4873"/>
    <w:rsid w:val="005D366C"/>
    <w:rsid w:val="00612E07"/>
    <w:rsid w:val="006355D2"/>
    <w:rsid w:val="006615D8"/>
    <w:rsid w:val="006657A3"/>
    <w:rsid w:val="006819B4"/>
    <w:rsid w:val="006F2980"/>
    <w:rsid w:val="0070374B"/>
    <w:rsid w:val="00714F5A"/>
    <w:rsid w:val="007A1A35"/>
    <w:rsid w:val="007A3F06"/>
    <w:rsid w:val="007A721C"/>
    <w:rsid w:val="007B44E4"/>
    <w:rsid w:val="007C1067"/>
    <w:rsid w:val="007D6AB1"/>
    <w:rsid w:val="007E272B"/>
    <w:rsid w:val="0083649D"/>
    <w:rsid w:val="00867A38"/>
    <w:rsid w:val="00872A0E"/>
    <w:rsid w:val="0088386D"/>
    <w:rsid w:val="008D105D"/>
    <w:rsid w:val="008D2CD0"/>
    <w:rsid w:val="008E1073"/>
    <w:rsid w:val="008F0955"/>
    <w:rsid w:val="00900E2B"/>
    <w:rsid w:val="00904DD5"/>
    <w:rsid w:val="00927878"/>
    <w:rsid w:val="0095188C"/>
    <w:rsid w:val="00967D04"/>
    <w:rsid w:val="009D4581"/>
    <w:rsid w:val="00A26687"/>
    <w:rsid w:val="00A36D46"/>
    <w:rsid w:val="00A51274"/>
    <w:rsid w:val="00A53067"/>
    <w:rsid w:val="00A9293D"/>
    <w:rsid w:val="00AB4275"/>
    <w:rsid w:val="00AB57D5"/>
    <w:rsid w:val="00AE2D68"/>
    <w:rsid w:val="00BD0144"/>
    <w:rsid w:val="00BE1706"/>
    <w:rsid w:val="00BE7A7B"/>
    <w:rsid w:val="00BF10E8"/>
    <w:rsid w:val="00BF2A7F"/>
    <w:rsid w:val="00C66277"/>
    <w:rsid w:val="00C81032"/>
    <w:rsid w:val="00C954CD"/>
    <w:rsid w:val="00CA6729"/>
    <w:rsid w:val="00CC666D"/>
    <w:rsid w:val="00D278A3"/>
    <w:rsid w:val="00D67326"/>
    <w:rsid w:val="00D701DF"/>
    <w:rsid w:val="00D85941"/>
    <w:rsid w:val="00DA0684"/>
    <w:rsid w:val="00E101E5"/>
    <w:rsid w:val="00E13AAA"/>
    <w:rsid w:val="00E15772"/>
    <w:rsid w:val="00E175DD"/>
    <w:rsid w:val="00E30CA0"/>
    <w:rsid w:val="00E84DEB"/>
    <w:rsid w:val="00ED255C"/>
    <w:rsid w:val="00EF7386"/>
    <w:rsid w:val="00F02FD3"/>
    <w:rsid w:val="00F05C98"/>
    <w:rsid w:val="00FB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8153"/>
  <w15:docId w15:val="{27BA923C-CB46-4808-AB79-ADCEFA72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35"/>
    <w:pPr>
      <w:spacing w:after="120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8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44E4"/>
    <w:pPr>
      <w:spacing w:after="0" w:line="360" w:lineRule="auto"/>
      <w:ind w:firstLine="1200"/>
      <w:jc w:val="left"/>
    </w:pPr>
    <w:rPr>
      <w:rFonts w:eastAsia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8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Corpodetexto">
    <w:name w:val="Body Text"/>
    <w:aliases w:val="Item da conclusão"/>
    <w:basedOn w:val="Normal"/>
    <w:link w:val="CorpodetextoChar"/>
    <w:unhideWhenUsed/>
    <w:rsid w:val="009D4581"/>
    <w:pPr>
      <w:spacing w:after="0"/>
    </w:pPr>
    <w:rPr>
      <w:rFonts w:eastAsia="Times New Roman"/>
    </w:rPr>
  </w:style>
  <w:style w:type="character" w:customStyle="1" w:styleId="CorpodetextoChar">
    <w:name w:val="Corpo de texto Char"/>
    <w:aliases w:val="Item da conclusão Char"/>
    <w:basedOn w:val="Fontepargpadro"/>
    <w:link w:val="Corpodetexto"/>
    <w:rsid w:val="009D4581"/>
    <w:rPr>
      <w:rFonts w:eastAsia="Times New Roman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1D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1DF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nhideWhenUsed/>
    <w:rsid w:val="000B312C"/>
    <w:pPr>
      <w:tabs>
        <w:tab w:val="center" w:pos="4419"/>
        <w:tab w:val="right" w:pos="8838"/>
      </w:tabs>
      <w:spacing w:after="0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B312C"/>
    <w:rPr>
      <w:rFonts w:eastAsia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BE7A7B"/>
    <w:rPr>
      <w:color w:val="000000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F3A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3A1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3A1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A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A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afonsofm</dc:creator>
  <cp:lastModifiedBy>Marcia Nubia Cavalcante Lopes</cp:lastModifiedBy>
  <cp:revision>8</cp:revision>
  <cp:lastPrinted>2009-10-15T12:18:00Z</cp:lastPrinted>
  <dcterms:created xsi:type="dcterms:W3CDTF">2016-02-25T19:37:00Z</dcterms:created>
  <dcterms:modified xsi:type="dcterms:W3CDTF">2016-03-28T20:21:00Z</dcterms:modified>
</cp:coreProperties>
</file>