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9E" w:rsidRDefault="00C4049E" w:rsidP="00EA4F77">
      <w:pPr>
        <w:pStyle w:val="NormalWeb"/>
        <w:ind w:firstLine="1134"/>
        <w:jc w:val="both"/>
        <w:rPr>
          <w:rFonts w:ascii="Segoe UI" w:hAnsi="Segoe UI" w:cs="Segoe UI"/>
          <w:color w:val="212121"/>
        </w:rPr>
      </w:pPr>
      <w:r>
        <w:rPr>
          <w:rFonts w:ascii="Segoe UI" w:hAnsi="Segoe UI" w:cs="Segoe UI"/>
          <w:color w:val="212121"/>
        </w:rPr>
        <w:t>O TCU tem suas competências atuais previstas nos artigos 33, § 2º, 71 a 74 e 161, parágrafo único, da </w:t>
      </w:r>
      <w:hyperlink r:id="rId7" w:history="1">
        <w:r>
          <w:rPr>
            <w:rStyle w:val="Hyperlink"/>
            <w:rFonts w:ascii="Segoe UI" w:hAnsi="Segoe UI" w:cs="Segoe UI"/>
            <w:color w:val="5D7093"/>
            <w:u w:val="none"/>
          </w:rPr>
          <w:t>Constituição Federal</w:t>
        </w:r>
      </w:hyperlink>
      <w:r>
        <w:rPr>
          <w:rFonts w:ascii="Segoe UI" w:hAnsi="Segoe UI" w:cs="Segoe UI"/>
          <w:color w:val="212121"/>
        </w:rPr>
        <w:t>. Além disso, em razão do exercício das competências constitucionais, outras incumbências lhe foram atribuídas por lei. Dentre as competências constitucionais e legais do TCU destacamos as seguintes, relacionadas direta ou indiretamente ao exame e julgamento de contas, a saber:</w:t>
      </w:r>
    </w:p>
    <w:p w:rsidR="00C4049E" w:rsidRDefault="00C4049E" w:rsidP="00EA4F77">
      <w:pPr>
        <w:pStyle w:val="NormalWeb"/>
        <w:ind w:firstLine="1134"/>
        <w:jc w:val="both"/>
        <w:rPr>
          <w:rFonts w:ascii="Segoe UI" w:hAnsi="Segoe UI" w:cs="Segoe UI"/>
          <w:color w:val="212121"/>
        </w:rPr>
      </w:pPr>
      <w:r>
        <w:rPr>
          <w:rFonts w:ascii="Segoe UI" w:hAnsi="Segoe UI" w:cs="Segoe UI"/>
          <w:color w:val="212121"/>
        </w:rPr>
        <w:t>No desempenho de suas atribuições, o Tribunal recebe e disponibiliza anualmente por intermédio do seu Portal na </w:t>
      </w:r>
      <w:r>
        <w:rPr>
          <w:rFonts w:ascii="Segoe UI" w:hAnsi="Segoe UI" w:cs="Segoe UI"/>
          <w:i/>
          <w:iCs/>
          <w:color w:val="212121"/>
        </w:rPr>
        <w:t>Internet</w:t>
      </w:r>
      <w:r>
        <w:rPr>
          <w:rFonts w:ascii="Segoe UI" w:hAnsi="Segoe UI" w:cs="Segoe UI"/>
          <w:color w:val="212121"/>
        </w:rPr>
        <w:t> os relatórios de gestão dos responsáveis pelas unidades da Administração Pública Federal sujeitas a sua jurisdição, os quais são compostos por um conjunto de demonstrativos e documentos de natureza contábil, financeira, patrimonial, orçamentária e operacional.</w:t>
      </w:r>
    </w:p>
    <w:p w:rsidR="00C4049E" w:rsidRDefault="00C4049E" w:rsidP="00EA4F77">
      <w:pPr>
        <w:pStyle w:val="NormalWeb"/>
        <w:ind w:firstLine="1134"/>
        <w:jc w:val="both"/>
        <w:rPr>
          <w:rFonts w:ascii="Segoe UI" w:hAnsi="Segoe UI" w:cs="Segoe UI"/>
          <w:color w:val="212121"/>
        </w:rPr>
      </w:pPr>
      <w:r>
        <w:rPr>
          <w:rFonts w:ascii="Segoe UI" w:hAnsi="Segoe UI" w:cs="Segoe UI"/>
          <w:color w:val="212121"/>
        </w:rPr>
        <w:t>Alguns desses relatórios de gestão, selecionados segundo critérios de risco, materialidade e relevância e acompanhados por outras informações produzidas pelos órgãos de auditoria e controle interno e pelas instâncias de controle fiscal e administrativo que têm a obrigação legal de se manifestarem sobre a gestão são apreciados pelo Tribunal sob a forma de tomadas e prestações de contas.</w:t>
      </w:r>
    </w:p>
    <w:p w:rsidR="00C4049E" w:rsidRDefault="00C4049E" w:rsidP="00EA4F77">
      <w:pPr>
        <w:pStyle w:val="NormalWeb"/>
        <w:ind w:firstLine="1134"/>
        <w:jc w:val="both"/>
        <w:rPr>
          <w:rFonts w:ascii="Segoe UI" w:hAnsi="Segoe UI" w:cs="Segoe UI"/>
          <w:color w:val="212121"/>
        </w:rPr>
      </w:pPr>
      <w:r>
        <w:rPr>
          <w:rFonts w:ascii="Segoe UI" w:hAnsi="Segoe UI" w:cs="Segoe UI"/>
          <w:color w:val="212121"/>
        </w:rPr>
        <w:t>Estas tomadas e prestações de contas são analisadas sob os aspectos de legalidade, legitimidade, economicidade, eficiência e eficácia, após o que são julgadas regulares, regulares com ressalvas, irregulares ou iliquidáveis. A primeira hipótese ocorre quando a conta expressa, de forma clara e objetiva, a exatidão dos demonstrativos contábeis, a legalidade, a legitimidade e a economicidade dos atos de gestão do responsável. As ressalvas, por sua vez, decorrem da existência de impropriedades ou falhas de natureza formal de que não resultem danos ao erário.</w:t>
      </w:r>
    </w:p>
    <w:p w:rsidR="00C4049E" w:rsidRDefault="00C4049E" w:rsidP="00EA4F77">
      <w:pPr>
        <w:pStyle w:val="NormalWeb"/>
        <w:ind w:firstLine="1134"/>
        <w:jc w:val="both"/>
        <w:rPr>
          <w:rFonts w:ascii="Segoe UI" w:hAnsi="Segoe UI" w:cs="Segoe UI"/>
          <w:color w:val="212121"/>
        </w:rPr>
      </w:pPr>
      <w:r>
        <w:rPr>
          <w:rFonts w:ascii="Segoe UI" w:hAnsi="Segoe UI" w:cs="Segoe UI"/>
          <w:color w:val="212121"/>
        </w:rPr>
        <w:t xml:space="preserve">Já a ocorrência de irregularidades das contas advém da omissão no dever de prestá-las; da prática de ato de gestão ilegal, ilegítimo, antieconômico, ou infração a norma legal ou regulamentar de natureza contábil, financeira, orçamentária, operacional ou patrimonial; de </w:t>
      </w:r>
      <w:proofErr w:type="spellStart"/>
      <w:r>
        <w:rPr>
          <w:rFonts w:ascii="Segoe UI" w:hAnsi="Segoe UI" w:cs="Segoe UI"/>
          <w:color w:val="212121"/>
        </w:rPr>
        <w:t>dano</w:t>
      </w:r>
      <w:proofErr w:type="spellEnd"/>
      <w:r>
        <w:rPr>
          <w:rFonts w:ascii="Segoe UI" w:hAnsi="Segoe UI" w:cs="Segoe UI"/>
          <w:color w:val="212121"/>
        </w:rPr>
        <w:t xml:space="preserve"> ao erário decorrente de ato de gestão ilegítimo ou antieconômico; de desfalque ou desvio de dinheiros, bens ou valores públicos e de reincidência no descumprimento de determinações do Tribunal. Por fim, as contas serão consideradas iliquidáveis quando caso fortuito ou força maior tornar materialmente impossível o julgamento de mérito.</w:t>
      </w:r>
    </w:p>
    <w:p w:rsidR="00C4049E" w:rsidRDefault="00C4049E" w:rsidP="00EA4F77">
      <w:pPr>
        <w:pStyle w:val="NormalWeb"/>
        <w:ind w:firstLine="1134"/>
        <w:jc w:val="both"/>
        <w:rPr>
          <w:rFonts w:ascii="Segoe UI" w:hAnsi="Segoe UI" w:cs="Segoe UI"/>
          <w:color w:val="212121"/>
        </w:rPr>
      </w:pPr>
      <w:r>
        <w:rPr>
          <w:rFonts w:ascii="Segoe UI" w:hAnsi="Segoe UI" w:cs="Segoe UI"/>
          <w:color w:val="212121"/>
        </w:rPr>
        <w:t xml:space="preserve">No julgamento desses processos são respeitados o contraditório e o direito à ampla defesa dos responsáveis, com todos os elementos a ela inerentes. Assim, o Tribunal, diante de irregularidades detectadas em suas análises, </w:t>
      </w:r>
      <w:r>
        <w:rPr>
          <w:rFonts w:ascii="Segoe UI" w:hAnsi="Segoe UI" w:cs="Segoe UI"/>
          <w:color w:val="212121"/>
        </w:rPr>
        <w:lastRenderedPageBreak/>
        <w:t>determina a realização de diligência, audiência prévia ou citação dos interessados, que, não as atendendo, são considerados revéis e como tal julgados.</w:t>
      </w:r>
    </w:p>
    <w:p w:rsidR="00C4049E" w:rsidRDefault="00C4049E" w:rsidP="00EA4F77">
      <w:pPr>
        <w:pStyle w:val="NormalWeb"/>
        <w:ind w:firstLine="1134"/>
        <w:jc w:val="both"/>
        <w:rPr>
          <w:rFonts w:ascii="Segoe UI" w:hAnsi="Segoe UI" w:cs="Segoe UI"/>
          <w:color w:val="212121"/>
        </w:rPr>
      </w:pPr>
      <w:r>
        <w:rPr>
          <w:rFonts w:ascii="Segoe UI" w:hAnsi="Segoe UI" w:cs="Segoe UI"/>
          <w:color w:val="212121"/>
        </w:rPr>
        <w:t>Em caso de julgamento pela irregularidade, as seguintes sanções podem ser aplicadas pelo TCU, isolada ou cumulativamente:</w:t>
      </w:r>
    </w:p>
    <w:p w:rsidR="00C4049E" w:rsidRDefault="00C4049E" w:rsidP="00C4049E">
      <w:pPr>
        <w:pStyle w:val="NormalWeb"/>
        <w:numPr>
          <w:ilvl w:val="0"/>
          <w:numId w:val="1"/>
        </w:numPr>
        <w:spacing w:before="120" w:beforeAutospacing="0" w:after="120" w:afterAutospacing="0"/>
        <w:ind w:left="714" w:hanging="357"/>
        <w:jc w:val="both"/>
        <w:rPr>
          <w:rFonts w:ascii="Segoe UI" w:hAnsi="Segoe UI" w:cs="Segoe UI"/>
          <w:color w:val="212121"/>
        </w:rPr>
      </w:pPr>
      <w:proofErr w:type="gramStart"/>
      <w:r>
        <w:rPr>
          <w:rFonts w:ascii="Segoe UI" w:hAnsi="Segoe UI" w:cs="Segoe UI"/>
          <w:color w:val="212121"/>
        </w:rPr>
        <w:t>a</w:t>
      </w:r>
      <w:proofErr w:type="gramEnd"/>
      <w:r>
        <w:rPr>
          <w:rFonts w:ascii="Segoe UI" w:hAnsi="Segoe UI" w:cs="Segoe UI"/>
          <w:color w:val="212121"/>
        </w:rPr>
        <w:t xml:space="preserve"> condenação ao recolhimento do débito eventualmente apurado;</w:t>
      </w:r>
    </w:p>
    <w:p w:rsidR="00C4049E" w:rsidRDefault="00C4049E" w:rsidP="00C4049E">
      <w:pPr>
        <w:pStyle w:val="NormalWeb"/>
        <w:numPr>
          <w:ilvl w:val="0"/>
          <w:numId w:val="1"/>
        </w:numPr>
        <w:spacing w:before="120" w:beforeAutospacing="0" w:after="120" w:afterAutospacing="0"/>
        <w:ind w:left="714" w:hanging="357"/>
        <w:jc w:val="both"/>
        <w:rPr>
          <w:rFonts w:ascii="Segoe UI" w:hAnsi="Segoe UI" w:cs="Segoe UI"/>
          <w:color w:val="212121"/>
        </w:rPr>
      </w:pPr>
      <w:proofErr w:type="gramStart"/>
      <w:r>
        <w:rPr>
          <w:rFonts w:ascii="Segoe UI" w:hAnsi="Segoe UI" w:cs="Segoe UI"/>
          <w:color w:val="212121"/>
        </w:rPr>
        <w:t>a</w:t>
      </w:r>
      <w:proofErr w:type="gramEnd"/>
      <w:r>
        <w:rPr>
          <w:rFonts w:ascii="Segoe UI" w:hAnsi="Segoe UI" w:cs="Segoe UI"/>
          <w:color w:val="212121"/>
        </w:rPr>
        <w:t xml:space="preserve"> aplicação ao agente público de multa proporcional ao valor de prejuízo causado ao erário, sendo o montante do dano o limite máximo da penalidade;</w:t>
      </w:r>
    </w:p>
    <w:p w:rsidR="00C4049E" w:rsidRDefault="00C4049E" w:rsidP="00C4049E">
      <w:pPr>
        <w:pStyle w:val="NormalWeb"/>
        <w:numPr>
          <w:ilvl w:val="0"/>
          <w:numId w:val="1"/>
        </w:numPr>
        <w:spacing w:before="120" w:beforeAutospacing="0" w:after="120" w:afterAutospacing="0"/>
        <w:ind w:left="714" w:hanging="357"/>
        <w:jc w:val="both"/>
        <w:rPr>
          <w:rFonts w:ascii="Segoe UI" w:hAnsi="Segoe UI" w:cs="Segoe UI"/>
          <w:color w:val="212121"/>
        </w:rPr>
      </w:pPr>
      <w:proofErr w:type="gramStart"/>
      <w:r>
        <w:rPr>
          <w:rFonts w:ascii="Segoe UI" w:hAnsi="Segoe UI" w:cs="Segoe UI"/>
          <w:color w:val="212121"/>
        </w:rPr>
        <w:t>a</w:t>
      </w:r>
      <w:proofErr w:type="gramEnd"/>
      <w:r>
        <w:rPr>
          <w:rFonts w:ascii="Segoe UI" w:hAnsi="Segoe UI" w:cs="Segoe UI"/>
          <w:color w:val="212121"/>
        </w:rPr>
        <w:t xml:space="preserve"> aplicação de multa ao responsável por contas julgadas irregulares, por ato irregular, ilegítimo ou antieconômico, por não atendimento de diligência ou determinação do Tribunal, por obstrução ao livre exercício de inspeções ou auditorias e por sonegação de processo, documento ou informação;</w:t>
      </w:r>
    </w:p>
    <w:p w:rsidR="00C4049E" w:rsidRDefault="00C4049E" w:rsidP="00C4049E">
      <w:pPr>
        <w:pStyle w:val="NormalWeb"/>
        <w:numPr>
          <w:ilvl w:val="0"/>
          <w:numId w:val="1"/>
        </w:numPr>
        <w:spacing w:before="120" w:beforeAutospacing="0" w:after="120" w:afterAutospacing="0"/>
        <w:ind w:left="714" w:hanging="357"/>
        <w:jc w:val="both"/>
        <w:rPr>
          <w:rFonts w:ascii="Segoe UI" w:hAnsi="Segoe UI" w:cs="Segoe UI"/>
          <w:color w:val="212121"/>
        </w:rPr>
      </w:pPr>
      <w:proofErr w:type="gramStart"/>
      <w:r>
        <w:rPr>
          <w:rFonts w:ascii="Segoe UI" w:hAnsi="Segoe UI" w:cs="Segoe UI"/>
          <w:color w:val="212121"/>
        </w:rPr>
        <w:t>o</w:t>
      </w:r>
      <w:proofErr w:type="gramEnd"/>
      <w:r>
        <w:rPr>
          <w:rFonts w:ascii="Segoe UI" w:hAnsi="Segoe UI" w:cs="Segoe UI"/>
          <w:color w:val="212121"/>
        </w:rPr>
        <w:t xml:space="preserve"> afastamento provisório de seu cargo, do dirigente responsável por cerceamentos a inspeções e auditorias enquanto durarem os respectivos trabalhos;</w:t>
      </w:r>
    </w:p>
    <w:p w:rsidR="00C4049E" w:rsidRDefault="00C4049E" w:rsidP="00C4049E">
      <w:pPr>
        <w:pStyle w:val="NormalWeb"/>
        <w:numPr>
          <w:ilvl w:val="0"/>
          <w:numId w:val="1"/>
        </w:numPr>
        <w:spacing w:before="120" w:beforeAutospacing="0" w:after="120" w:afterAutospacing="0"/>
        <w:ind w:left="714" w:hanging="357"/>
        <w:jc w:val="both"/>
        <w:rPr>
          <w:rFonts w:ascii="Segoe UI" w:hAnsi="Segoe UI" w:cs="Segoe UI"/>
          <w:color w:val="212121"/>
        </w:rPr>
      </w:pPr>
      <w:proofErr w:type="gramStart"/>
      <w:r>
        <w:rPr>
          <w:rFonts w:ascii="Segoe UI" w:hAnsi="Segoe UI" w:cs="Segoe UI"/>
          <w:color w:val="212121"/>
        </w:rPr>
        <w:t>a</w:t>
      </w:r>
      <w:proofErr w:type="gramEnd"/>
      <w:r>
        <w:rPr>
          <w:rFonts w:ascii="Segoe UI" w:hAnsi="Segoe UI" w:cs="Segoe UI"/>
          <w:color w:val="212121"/>
        </w:rPr>
        <w:t xml:space="preserve"> decretação, no curso de qualquer apuração de irregularidade, da indisponibilidade, por prazo não superior a um ano, dos bens do responsável considerados bastantes para garantir o ressarcimento do prejuízo;</w:t>
      </w:r>
    </w:p>
    <w:p w:rsidR="00C4049E" w:rsidRDefault="00C4049E" w:rsidP="00C4049E">
      <w:pPr>
        <w:pStyle w:val="NormalWeb"/>
        <w:numPr>
          <w:ilvl w:val="0"/>
          <w:numId w:val="1"/>
        </w:numPr>
        <w:spacing w:before="120" w:beforeAutospacing="0" w:after="120" w:afterAutospacing="0"/>
        <w:ind w:left="714" w:hanging="357"/>
        <w:jc w:val="both"/>
        <w:rPr>
          <w:rFonts w:ascii="Segoe UI" w:hAnsi="Segoe UI" w:cs="Segoe UI"/>
          <w:color w:val="212121"/>
        </w:rPr>
      </w:pPr>
      <w:proofErr w:type="gramStart"/>
      <w:r>
        <w:rPr>
          <w:rFonts w:ascii="Segoe UI" w:hAnsi="Segoe UI" w:cs="Segoe UI"/>
          <w:color w:val="212121"/>
        </w:rPr>
        <w:t>a</w:t>
      </w:r>
      <w:proofErr w:type="gramEnd"/>
      <w:r>
        <w:rPr>
          <w:rFonts w:ascii="Segoe UI" w:hAnsi="Segoe UI" w:cs="Segoe UI"/>
          <w:color w:val="212121"/>
        </w:rPr>
        <w:t xml:space="preserve"> declaração de inabilitação, pelo período de cinco a oito anos, para o exercício de cargo em comissão ou função de confiança no âmbito da administração pública;</w:t>
      </w:r>
    </w:p>
    <w:p w:rsidR="00C4049E" w:rsidRDefault="00C4049E" w:rsidP="00C4049E">
      <w:pPr>
        <w:pStyle w:val="NormalWeb"/>
        <w:numPr>
          <w:ilvl w:val="0"/>
          <w:numId w:val="1"/>
        </w:numPr>
        <w:spacing w:before="120" w:beforeAutospacing="0" w:after="120" w:afterAutospacing="0"/>
        <w:ind w:left="714" w:hanging="357"/>
        <w:jc w:val="both"/>
        <w:rPr>
          <w:rFonts w:ascii="Segoe UI" w:hAnsi="Segoe UI" w:cs="Segoe UI"/>
          <w:color w:val="212121"/>
        </w:rPr>
      </w:pPr>
      <w:proofErr w:type="gramStart"/>
      <w:r>
        <w:rPr>
          <w:rFonts w:ascii="Segoe UI" w:hAnsi="Segoe UI" w:cs="Segoe UI"/>
          <w:color w:val="212121"/>
        </w:rPr>
        <w:t>a</w:t>
      </w:r>
      <w:proofErr w:type="gramEnd"/>
      <w:r>
        <w:rPr>
          <w:rFonts w:ascii="Segoe UI" w:hAnsi="Segoe UI" w:cs="Segoe UI"/>
          <w:color w:val="212121"/>
        </w:rPr>
        <w:t xml:space="preserve"> declaração de inidoneidade do responsável por fraude em licitação para participar, por até cinco anos, de certames licitatórios promovidos pela administração pública;</w:t>
      </w:r>
    </w:p>
    <w:p w:rsidR="00C4049E" w:rsidRDefault="00C4049E" w:rsidP="00C4049E">
      <w:pPr>
        <w:pStyle w:val="NormalWeb"/>
        <w:numPr>
          <w:ilvl w:val="0"/>
          <w:numId w:val="1"/>
        </w:numPr>
        <w:spacing w:before="120" w:beforeAutospacing="0" w:after="120" w:afterAutospacing="0"/>
        <w:ind w:left="714" w:hanging="357"/>
        <w:jc w:val="both"/>
        <w:rPr>
          <w:rFonts w:ascii="Segoe UI" w:hAnsi="Segoe UI" w:cs="Segoe UI"/>
          <w:color w:val="212121"/>
        </w:rPr>
      </w:pPr>
      <w:proofErr w:type="gramStart"/>
      <w:r>
        <w:rPr>
          <w:rFonts w:ascii="Segoe UI" w:hAnsi="Segoe UI" w:cs="Segoe UI"/>
          <w:color w:val="212121"/>
        </w:rPr>
        <w:t>a</w:t>
      </w:r>
      <w:proofErr w:type="gramEnd"/>
      <w:r>
        <w:rPr>
          <w:rFonts w:ascii="Segoe UI" w:hAnsi="Segoe UI" w:cs="Segoe UI"/>
          <w:color w:val="212121"/>
        </w:rPr>
        <w:t xml:space="preserve"> determinação à Advocacia-Geral da União, ou ao dirigente de entidade jurisdicionada, de adoção de providências para arresto dos bens de responsáveis julgados em débito. </w:t>
      </w:r>
    </w:p>
    <w:p w:rsidR="00C4049E" w:rsidRDefault="00C4049E" w:rsidP="00EA4F77">
      <w:pPr>
        <w:pStyle w:val="NormalWeb"/>
        <w:ind w:firstLine="1134"/>
        <w:jc w:val="both"/>
        <w:rPr>
          <w:rFonts w:ascii="Segoe UI" w:hAnsi="Segoe UI" w:cs="Segoe UI"/>
          <w:color w:val="212121"/>
        </w:rPr>
      </w:pPr>
      <w:r>
        <w:rPr>
          <w:rFonts w:ascii="Segoe UI" w:hAnsi="Segoe UI" w:cs="Segoe UI"/>
          <w:color w:val="212121"/>
        </w:rPr>
        <w:t>Cabe destacar, ainda, que as penalidades aplicadas pelo Tribunal de Contas não excluem a aplicação de sanções penais e de outras sanções administrativas, estas últimas pelas autoridades competentes. Ressalte-se, também, que a legislação eleitoral prevê a inelegibilidade, por um período de cinco anos, dos responsáveis por contas irregulares.</w:t>
      </w:r>
    </w:p>
    <w:p w:rsidR="00C4049E" w:rsidRDefault="00C4049E" w:rsidP="00EA4F77">
      <w:pPr>
        <w:pStyle w:val="NormalWeb"/>
        <w:ind w:firstLine="1134"/>
        <w:jc w:val="both"/>
        <w:rPr>
          <w:rFonts w:ascii="Segoe UI" w:hAnsi="Segoe UI" w:cs="Segoe UI"/>
          <w:color w:val="212121"/>
        </w:rPr>
      </w:pPr>
      <w:r>
        <w:rPr>
          <w:rFonts w:ascii="Segoe UI" w:hAnsi="Segoe UI" w:cs="Segoe UI"/>
          <w:color w:val="212121"/>
        </w:rPr>
        <w:lastRenderedPageBreak/>
        <w:t>Nesse sentido, o processo de exame e julgamento de tomadas e prestação de contas anuais é expressão máxima do poder controlador do TCU, exercido em auxílio ao Congresso Nacional, dado que, contrariamente aos sistemas de controladoria adotados em outros países, permite ao Tribunal exercer juízo sobre a gestão dos responsáveis pela administração de recursos públicos federais, bem como fazer determinações e imputar sanções, as quais, no que tange ao mérito, não são recorríveis a outro órgão que não ao próprio TCU. </w:t>
      </w:r>
    </w:p>
    <w:p w:rsidR="00C4049E" w:rsidRDefault="00C4049E" w:rsidP="00EA4F77">
      <w:pPr>
        <w:pStyle w:val="NormalWeb"/>
        <w:ind w:firstLine="1134"/>
        <w:jc w:val="both"/>
        <w:rPr>
          <w:rFonts w:ascii="Segoe UI" w:hAnsi="Segoe UI" w:cs="Segoe UI"/>
          <w:color w:val="212121"/>
        </w:rPr>
      </w:pPr>
      <w:r>
        <w:rPr>
          <w:rFonts w:ascii="Segoe UI" w:hAnsi="Segoe UI" w:cs="Segoe UI"/>
          <w:color w:val="212121"/>
        </w:rPr>
        <w:t>Sobre o tema, cabe observar que o instituto da prestação de contas iniciou o seu desenvolvimento a partir das ciências contábeis, como elemento de registro dos lançamentos de débito ou crédito relativos a operações comerciais e financeiras; evoluiu com as ciências econômicas, além da simples memória das transações financeiras, para um registro do planejamento e execução orçamentária. A rigor, prestar contas sempre trouxe a conotação de dar informação sobre pessoa ou coisa (incluindo valores) pela qual se é responsável.</w:t>
      </w:r>
    </w:p>
    <w:p w:rsidR="00C4049E" w:rsidRDefault="00C4049E" w:rsidP="00EA4F77">
      <w:pPr>
        <w:pStyle w:val="NormalWeb"/>
        <w:ind w:firstLine="1134"/>
        <w:jc w:val="both"/>
        <w:rPr>
          <w:rFonts w:ascii="Segoe UI" w:hAnsi="Segoe UI" w:cs="Segoe UI"/>
          <w:color w:val="212121"/>
        </w:rPr>
      </w:pPr>
      <w:r>
        <w:rPr>
          <w:rFonts w:ascii="Segoe UI" w:hAnsi="Segoe UI" w:cs="Segoe UI"/>
          <w:color w:val="212121"/>
        </w:rPr>
        <w:t xml:space="preserve">Hodiernamente, a função do instituto da prestação de contas parte da obrigação social e pública de prestar informações sobre algo pelo qual é responsável (atribuição, dever). Esse conceito é base da transparência e do controle social, definições mais próximas do termo governança, que por sua vez decorre do conceito de </w:t>
      </w:r>
      <w:proofErr w:type="spellStart"/>
      <w:r>
        <w:rPr>
          <w:rFonts w:ascii="Segoe UI" w:hAnsi="Segoe UI" w:cs="Segoe UI"/>
          <w:i/>
          <w:iCs/>
          <w:color w:val="212121"/>
        </w:rPr>
        <w:t>accountability</w:t>
      </w:r>
      <w:proofErr w:type="spellEnd"/>
      <w:r>
        <w:rPr>
          <w:rFonts w:ascii="Segoe UI" w:hAnsi="Segoe UI" w:cs="Segoe UI"/>
          <w:color w:val="212121"/>
        </w:rPr>
        <w:t>. Governança é a capacidade do governo de responder às demandas da sociedade, à transparência das ações do poder público e à responsabilidade dos agentes políticos e administradores públicos pelos seus atos, transcendendo ao conceito de prestação de contas tradicional de realizar bem determinada tarefa, dar conta de uma incumbência.</w:t>
      </w:r>
    </w:p>
    <w:p w:rsidR="00C4049E" w:rsidRDefault="00C4049E" w:rsidP="00EA4F77">
      <w:pPr>
        <w:pStyle w:val="NormalWeb"/>
        <w:ind w:firstLine="1134"/>
        <w:jc w:val="both"/>
        <w:rPr>
          <w:rFonts w:ascii="Segoe UI" w:hAnsi="Segoe UI" w:cs="Segoe UI"/>
          <w:color w:val="212121"/>
        </w:rPr>
      </w:pPr>
      <w:r>
        <w:rPr>
          <w:rFonts w:ascii="Segoe UI" w:hAnsi="Segoe UI" w:cs="Segoe UI"/>
          <w:color w:val="212121"/>
        </w:rPr>
        <w:t>Aplicado ao controle externo, esse conceito é um marco teórico fundamental para a determinação de qual aspecto da gestão será examinado e cobrado dos administradores públicos – legalidade, economicidade, eficiência, eficácia e efetividade, sendo uma importante ferramenta para instrumentalizar o controle, ao permitir uma percepção mais elaborada de como se deve dar o controle por contas e como esse se integra aos demais instrumentos de fiscalização do Tribunal.</w:t>
      </w:r>
    </w:p>
    <w:p w:rsidR="00C4049E" w:rsidRDefault="00C4049E" w:rsidP="00EA4F77">
      <w:pPr>
        <w:pStyle w:val="NormalWeb"/>
        <w:ind w:firstLine="1134"/>
        <w:jc w:val="both"/>
        <w:rPr>
          <w:rFonts w:ascii="Segoe UI" w:hAnsi="Segoe UI" w:cs="Segoe UI"/>
          <w:color w:val="212121"/>
        </w:rPr>
      </w:pPr>
      <w:r>
        <w:rPr>
          <w:rFonts w:ascii="Segoe UI" w:hAnsi="Segoe UI" w:cs="Segoe UI"/>
          <w:color w:val="212121"/>
        </w:rPr>
        <w:t>Nos termos da Instrução Normativa TCU nº 57/2008, o conceito de processo de contas foi ampliado para dar ênfase à questão do desempenho, especificamente quanto à produção de resultados pelo aparato estatal, sendo redefinido, resumidamente, como um processo de trabalho do controle externo voltado ao exame da conformidade e o desempenho da gestão dos responsáveis pelas unidades da Administração Pública Federal jurisdicionadas ao TCU.</w:t>
      </w:r>
    </w:p>
    <w:p w:rsidR="00EA4F77" w:rsidRDefault="00C4049E" w:rsidP="00EA4F77">
      <w:pPr>
        <w:pStyle w:val="NormalWeb"/>
        <w:ind w:firstLine="1134"/>
        <w:jc w:val="both"/>
        <w:rPr>
          <w:rFonts w:ascii="Segoe UI" w:hAnsi="Segoe UI" w:cs="Segoe UI"/>
          <w:color w:val="212121"/>
        </w:rPr>
      </w:pPr>
      <w:r>
        <w:rPr>
          <w:rFonts w:ascii="Segoe UI" w:hAnsi="Segoe UI" w:cs="Segoe UI"/>
          <w:color w:val="212121"/>
        </w:rPr>
        <w:lastRenderedPageBreak/>
        <w:t xml:space="preserve">A ampliação do conceito de contas abre caminho para utilização de informações obtidas pelo próprio TCU por intermédio da extração de dados, inclusive automáticas, dos sistemas de informação da Administração Pública no exato momento em que delas necessitar. A criação de bases de dados gerenciais e a construção de </w:t>
      </w:r>
      <w:proofErr w:type="spellStart"/>
      <w:r>
        <w:rPr>
          <w:rFonts w:ascii="Segoe UI" w:hAnsi="Segoe UI" w:cs="Segoe UI"/>
          <w:i/>
          <w:iCs/>
          <w:color w:val="212121"/>
        </w:rPr>
        <w:t>DataWarehouse</w:t>
      </w:r>
      <w:proofErr w:type="spellEnd"/>
      <w:r>
        <w:rPr>
          <w:rFonts w:ascii="Segoe UI" w:hAnsi="Segoe UI" w:cs="Segoe UI"/>
          <w:color w:val="212121"/>
        </w:rPr>
        <w:t xml:space="preserve"> representam tecnologias a serviço dessa prática. </w:t>
      </w:r>
    </w:p>
    <w:p w:rsidR="00C4049E" w:rsidRDefault="00C4049E" w:rsidP="00EA4F77">
      <w:pPr>
        <w:pStyle w:val="NormalWeb"/>
        <w:ind w:firstLine="1134"/>
        <w:jc w:val="both"/>
        <w:rPr>
          <w:rFonts w:ascii="Segoe UI" w:hAnsi="Segoe UI" w:cs="Segoe UI"/>
          <w:color w:val="212121"/>
        </w:rPr>
      </w:pPr>
      <w:bookmarkStart w:id="0" w:name="_GoBack"/>
      <w:bookmarkEnd w:id="0"/>
      <w:r>
        <w:rPr>
          <w:rFonts w:ascii="Segoe UI" w:hAnsi="Segoe UI" w:cs="Segoe UI"/>
          <w:color w:val="212121"/>
        </w:rPr>
        <w:t>Nesse sentido, o TCU está desenvolvendo alguns projetos que direta ou indiretamente atenderão ao objetivo de modernizar o processo de contas, em especial o Projeto Contas (construção de um novo modelo de contas) e o Sistema de Inteligência e Suporte ao Controle Externo (Síntese).</w:t>
      </w:r>
    </w:p>
    <w:p w:rsidR="00791033" w:rsidRDefault="002F1F80"/>
    <w:sectPr w:rsidR="00791033" w:rsidSect="00EA4F77">
      <w:head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F80" w:rsidRDefault="002F1F80" w:rsidP="00EA4F77">
      <w:pPr>
        <w:spacing w:after="0" w:line="240" w:lineRule="auto"/>
      </w:pPr>
      <w:r>
        <w:separator/>
      </w:r>
    </w:p>
  </w:endnote>
  <w:endnote w:type="continuationSeparator" w:id="0">
    <w:p w:rsidR="002F1F80" w:rsidRDefault="002F1F80" w:rsidP="00EA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F80" w:rsidRDefault="002F1F80" w:rsidP="00EA4F77">
      <w:pPr>
        <w:spacing w:after="0" w:line="240" w:lineRule="auto"/>
      </w:pPr>
      <w:r>
        <w:separator/>
      </w:r>
    </w:p>
  </w:footnote>
  <w:footnote w:type="continuationSeparator" w:id="0">
    <w:p w:rsidR="002F1F80" w:rsidRDefault="002F1F80" w:rsidP="00EA4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77" w:rsidRPr="00D944B7" w:rsidRDefault="00EA4F77" w:rsidP="00EA4F77">
    <w:pPr>
      <w:pStyle w:val="Cabealho"/>
      <w:ind w:left="-284"/>
    </w:pPr>
    <w:r>
      <w:rPr>
        <w:noProof/>
      </w:rPr>
      <mc:AlternateContent>
        <mc:Choice Requires="wps">
          <w:drawing>
            <wp:anchor distT="0" distB="0" distL="114300" distR="114300" simplePos="0" relativeHeight="251660288" behindDoc="0" locked="0" layoutInCell="1" allowOverlap="1" wp14:anchorId="78F00214" wp14:editId="2A8CAD68">
              <wp:simplePos x="0" y="0"/>
              <wp:positionH relativeFrom="margin">
                <wp:posOffset>604520</wp:posOffset>
              </wp:positionH>
              <wp:positionV relativeFrom="page">
                <wp:posOffset>552450</wp:posOffset>
              </wp:positionV>
              <wp:extent cx="4330700" cy="521970"/>
              <wp:effectExtent l="4445" t="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F77" w:rsidRPr="008B5258" w:rsidRDefault="00EA4F77" w:rsidP="00EA4F77">
                          <w:pPr>
                            <w:spacing w:after="0"/>
                            <w:rPr>
                              <w:rFonts w:ascii="Arial" w:hAnsi="Arial" w:cs="Arial"/>
                              <w:sz w:val="20"/>
                            </w:rPr>
                          </w:pPr>
                          <w:r w:rsidRPr="008B5258">
                            <w:rPr>
                              <w:rFonts w:ascii="Arial" w:hAnsi="Arial" w:cs="Arial"/>
                              <w:sz w:val="20"/>
                            </w:rPr>
                            <w:t>TRIBUNAL DE CONTAS DA UNIÃO</w:t>
                          </w:r>
                        </w:p>
                      </w:txbxContent>
                    </wps:txbx>
                    <wps:bodyPr rot="0" vert="horz" wrap="square" lIns="91440" tIns="35941"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00214" id="_x0000_t202" coordsize="21600,21600" o:spt="202" path="m,l,21600r21600,l21600,xe">
              <v:stroke joinstyle="miter"/>
              <v:path gradientshapeok="t" o:connecttype="rect"/>
            </v:shapetype>
            <v:shape id="Text Box 3" o:spid="_x0000_s1026" type="#_x0000_t202" style="position:absolute;left:0;text-align:left;margin-left:47.6pt;margin-top:43.5pt;width:341pt;height:4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" stroked="f">
              <v:textbox inset=",2.83pt">
                <w:txbxContent>
                  <w:p w:rsidR="00EA4F77" w:rsidRPr="008B5258" w:rsidRDefault="00EA4F77" w:rsidP="00EA4F77">
                    <w:pPr>
                      <w:spacing w:after="0"/>
                      <w:rPr>
                        <w:rFonts w:ascii="Arial" w:hAnsi="Arial" w:cs="Arial"/>
                        <w:sz w:val="20"/>
                      </w:rPr>
                    </w:pPr>
                    <w:r w:rsidRPr="008B5258">
                      <w:rPr>
                        <w:rFonts w:ascii="Arial" w:hAnsi="Arial" w:cs="Arial"/>
                        <w:sz w:val="20"/>
                      </w:rPr>
                      <w:t>TRIBUNAL DE CONTAS DA UNIÃO</w:t>
                    </w:r>
                  </w:p>
                </w:txbxContent>
              </v:textbox>
              <w10:wrap anchorx="margin" anchory="page"/>
            </v:shape>
          </w:pict>
        </mc:Fallback>
      </mc:AlternateContent>
    </w:r>
    <w:r>
      <w:rPr>
        <w:noProof/>
      </w:rPr>
      <w:drawing>
        <wp:anchor distT="0" distB="0" distL="114300" distR="114300" simplePos="0" relativeHeight="251659264" behindDoc="0" locked="0" layoutInCell="1" allowOverlap="1" wp14:anchorId="71E5373C" wp14:editId="0184EB71">
          <wp:simplePos x="0" y="0"/>
          <wp:positionH relativeFrom="column">
            <wp:posOffset>0</wp:posOffset>
          </wp:positionH>
          <wp:positionV relativeFrom="paragraph">
            <wp:posOffset>0</wp:posOffset>
          </wp:positionV>
          <wp:extent cx="542925" cy="434340"/>
          <wp:effectExtent l="19050" t="0" r="9525" b="0"/>
          <wp:wrapNone/>
          <wp:docPr id="9" name="Imagem 9"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
                  <pic:cNvPicPr>
                    <a:picLocks noChangeAspect="1" noChangeArrowheads="1"/>
                  </pic:cNvPicPr>
                </pic:nvPicPr>
                <pic:blipFill>
                  <a:blip r:embed="rId1"/>
                  <a:srcRect/>
                  <a:stretch>
                    <a:fillRect/>
                  </a:stretch>
                </pic:blipFill>
                <pic:spPr bwMode="auto">
                  <a:xfrm>
                    <a:off x="0" y="0"/>
                    <a:ext cx="542925" cy="434340"/>
                  </a:xfrm>
                  <a:prstGeom prst="rect">
                    <a:avLst/>
                  </a:prstGeom>
                  <a:noFill/>
                  <a:ln w="9525">
                    <a:noFill/>
                    <a:miter lim="800000"/>
                    <a:headEnd/>
                    <a:tailEnd/>
                  </a:ln>
                </pic:spPr>
              </pic:pic>
            </a:graphicData>
          </a:graphic>
        </wp:anchor>
      </w:drawing>
    </w:r>
  </w:p>
  <w:p w:rsidR="00EA4F77" w:rsidRDefault="00EA4F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4051E"/>
    <w:multiLevelType w:val="hybridMultilevel"/>
    <w:tmpl w:val="CE9838C2"/>
    <w:lvl w:ilvl="0" w:tplc="B5866D68">
      <w:numFmt w:val="bullet"/>
      <w:lvlText w:val="·"/>
      <w:lvlJc w:val="left"/>
      <w:pPr>
        <w:ind w:left="1040" w:hanging="680"/>
      </w:pPr>
      <w:rPr>
        <w:rFonts w:ascii="Segoe UI" w:eastAsia="Times New Roman" w:hAnsi="Segoe UI" w:cs="Segoe U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06C3233"/>
    <w:multiLevelType w:val="hybridMultilevel"/>
    <w:tmpl w:val="12D287B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9E"/>
    <w:rsid w:val="000848BC"/>
    <w:rsid w:val="002F1F80"/>
    <w:rsid w:val="009E52C5"/>
    <w:rsid w:val="00C4049E"/>
    <w:rsid w:val="00D565EE"/>
    <w:rsid w:val="00EA4F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E900F1-A764-4D62-9F2E-0EB5B9DA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404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4049E"/>
    <w:rPr>
      <w:color w:val="0000FF"/>
      <w:u w:val="single"/>
    </w:rPr>
  </w:style>
  <w:style w:type="paragraph" w:styleId="Cabealho">
    <w:name w:val="header"/>
    <w:basedOn w:val="Normal"/>
    <w:link w:val="CabealhoChar"/>
    <w:uiPriority w:val="99"/>
    <w:unhideWhenUsed/>
    <w:rsid w:val="00EA4F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F77"/>
  </w:style>
  <w:style w:type="paragraph" w:styleId="Rodap">
    <w:name w:val="footer"/>
    <w:basedOn w:val="Normal"/>
    <w:link w:val="RodapChar"/>
    <w:uiPriority w:val="99"/>
    <w:unhideWhenUsed/>
    <w:rsid w:val="00EA4F77"/>
    <w:pPr>
      <w:tabs>
        <w:tab w:val="center" w:pos="4252"/>
        <w:tab w:val="right" w:pos="8504"/>
      </w:tabs>
      <w:spacing w:after="0" w:line="240" w:lineRule="auto"/>
    </w:pPr>
  </w:style>
  <w:style w:type="character" w:customStyle="1" w:styleId="RodapChar">
    <w:name w:val="Rodapé Char"/>
    <w:basedOn w:val="Fontepargpadro"/>
    <w:link w:val="Rodap"/>
    <w:uiPriority w:val="99"/>
    <w:rsid w:val="00EA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0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Constituicao/Constitui%C3%A7a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Silva de Jesus</dc:creator>
  <cp:keywords/>
  <dc:description/>
  <cp:lastModifiedBy>Rosa Maria Silva de Jesus</cp:lastModifiedBy>
  <cp:revision>2</cp:revision>
  <dcterms:created xsi:type="dcterms:W3CDTF">2018-11-08T17:21:00Z</dcterms:created>
  <dcterms:modified xsi:type="dcterms:W3CDTF">2018-11-08T17:21:00Z</dcterms:modified>
</cp:coreProperties>
</file>