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7E43" w:rsidRDefault="00C17E43" w:rsidP="006F049E">
      <w:pPr>
        <w:pStyle w:val="Cabealho"/>
        <w:keepLines/>
        <w:tabs>
          <w:tab w:val="left" w:pos="851"/>
        </w:tabs>
        <w:spacing w:line="240" w:lineRule="auto"/>
        <w:jc w:val="center"/>
        <w:rPr>
          <w:rFonts w:ascii="Times New Roman" w:hAnsi="Times New Roman"/>
          <w:b/>
          <w:sz w:val="24"/>
        </w:rPr>
      </w:pPr>
      <w:bookmarkStart w:id="0" w:name="_GoBack"/>
      <w:bookmarkEnd w:id="0"/>
    </w:p>
    <w:p w:rsidR="00C17E43" w:rsidRDefault="00C17E43" w:rsidP="006F049E">
      <w:pPr>
        <w:pStyle w:val="Cabealho"/>
        <w:keepLines/>
        <w:tabs>
          <w:tab w:val="left" w:pos="851"/>
        </w:tabs>
        <w:spacing w:line="240" w:lineRule="auto"/>
        <w:jc w:val="center"/>
        <w:rPr>
          <w:rFonts w:ascii="Times New Roman" w:hAnsi="Times New Roman"/>
          <w:b/>
          <w:sz w:val="24"/>
        </w:rPr>
      </w:pPr>
    </w:p>
    <w:p w:rsidR="00C17E43" w:rsidRDefault="00C17E43" w:rsidP="006F049E">
      <w:pPr>
        <w:pStyle w:val="Cabealho"/>
        <w:keepLines/>
        <w:tabs>
          <w:tab w:val="left" w:pos="851"/>
        </w:tabs>
        <w:spacing w:line="240" w:lineRule="auto"/>
        <w:jc w:val="center"/>
        <w:rPr>
          <w:rFonts w:ascii="Times New Roman" w:hAnsi="Times New Roman"/>
          <w:b/>
          <w:sz w:val="24"/>
        </w:rPr>
      </w:pPr>
    </w:p>
    <w:p w:rsidR="004D0C37" w:rsidRDefault="0035280C" w:rsidP="006F049E">
      <w:pPr>
        <w:pStyle w:val="Cabealho"/>
        <w:keepLines/>
        <w:tabs>
          <w:tab w:val="left" w:pos="851"/>
        </w:tabs>
        <w:spacing w:line="240" w:lineRule="auto"/>
        <w:jc w:val="center"/>
        <w:rPr>
          <w:rFonts w:ascii="Times New Roman" w:hAnsi="Times New Roman"/>
          <w:b/>
          <w:sz w:val="24"/>
        </w:rPr>
      </w:pPr>
      <w:r w:rsidRPr="00515BC9">
        <w:rPr>
          <w:rFonts w:ascii="Times New Roman" w:hAnsi="Times New Roman"/>
          <w:b/>
          <w:sz w:val="24"/>
        </w:rPr>
        <w:t>MANIFESTAÇÃO DA COMISSÃO DE ÉTICA DO</w:t>
      </w:r>
    </w:p>
    <w:p w:rsidR="0035280C" w:rsidRDefault="0035280C" w:rsidP="006F049E">
      <w:pPr>
        <w:pStyle w:val="Cabealho"/>
        <w:keepLines/>
        <w:tabs>
          <w:tab w:val="left" w:pos="851"/>
        </w:tabs>
        <w:spacing w:line="240" w:lineRule="auto"/>
        <w:jc w:val="center"/>
        <w:rPr>
          <w:rFonts w:ascii="Times New Roman" w:hAnsi="Times New Roman"/>
          <w:b/>
          <w:sz w:val="24"/>
        </w:rPr>
      </w:pPr>
      <w:r w:rsidRPr="00515BC9">
        <w:rPr>
          <w:rFonts w:ascii="Times New Roman" w:hAnsi="Times New Roman"/>
          <w:b/>
          <w:sz w:val="24"/>
        </w:rPr>
        <w:t xml:space="preserve"> T</w:t>
      </w:r>
      <w:r w:rsidR="004D0C37">
        <w:rPr>
          <w:rFonts w:ascii="Times New Roman" w:hAnsi="Times New Roman"/>
          <w:b/>
          <w:sz w:val="24"/>
        </w:rPr>
        <w:t xml:space="preserve">RIBUNAL DE CONTAS DA UNIÃO </w:t>
      </w:r>
      <w:r w:rsidR="007347E7">
        <w:rPr>
          <w:rFonts w:ascii="Times New Roman" w:hAnsi="Times New Roman"/>
          <w:b/>
          <w:sz w:val="24"/>
        </w:rPr>
        <w:t xml:space="preserve">Nº </w:t>
      </w:r>
      <w:r w:rsidR="003B7D6B">
        <w:rPr>
          <w:rFonts w:ascii="Times New Roman" w:hAnsi="Times New Roman"/>
          <w:b/>
          <w:sz w:val="24"/>
        </w:rPr>
        <w:t>9</w:t>
      </w:r>
      <w:r w:rsidR="007347E7">
        <w:rPr>
          <w:rFonts w:ascii="Times New Roman" w:hAnsi="Times New Roman"/>
          <w:b/>
          <w:sz w:val="24"/>
        </w:rPr>
        <w:t>/2021</w:t>
      </w:r>
    </w:p>
    <w:p w:rsidR="00D90D1C" w:rsidRDefault="00D90D1C" w:rsidP="00F26F5B">
      <w:pPr>
        <w:pStyle w:val="PargrafodaLista"/>
        <w:jc w:val="both"/>
        <w:rPr>
          <w:rFonts w:ascii="Times New Roman" w:hAnsi="Times New Roman"/>
          <w:sz w:val="28"/>
          <w:szCs w:val="28"/>
        </w:rPr>
      </w:pPr>
    </w:p>
    <w:p w:rsidR="00C17E43" w:rsidRDefault="00C17E43" w:rsidP="00F26F5B">
      <w:pPr>
        <w:pStyle w:val="PargrafodaLista"/>
        <w:jc w:val="both"/>
        <w:rPr>
          <w:rFonts w:ascii="Times New Roman" w:hAnsi="Times New Roman"/>
          <w:sz w:val="28"/>
          <w:szCs w:val="28"/>
        </w:rPr>
      </w:pPr>
    </w:p>
    <w:p w:rsidR="006A2210" w:rsidRDefault="006A2210" w:rsidP="006A2210">
      <w:pPr>
        <w:pStyle w:val="PargrafodaLista"/>
        <w:ind w:left="4820"/>
        <w:jc w:val="both"/>
        <w:rPr>
          <w:rFonts w:ascii="Times New Roman" w:hAnsi="Times New Roman"/>
          <w:b/>
          <w:bCs/>
          <w:sz w:val="24"/>
          <w:szCs w:val="24"/>
        </w:rPr>
      </w:pPr>
      <w:r>
        <w:rPr>
          <w:rFonts w:ascii="Times New Roman" w:hAnsi="Times New Roman"/>
          <w:b/>
          <w:bCs/>
          <w:sz w:val="24"/>
          <w:szCs w:val="24"/>
        </w:rPr>
        <w:t>Assunto:</w:t>
      </w:r>
      <w:r w:rsidR="000329B8">
        <w:rPr>
          <w:rFonts w:ascii="Times New Roman" w:hAnsi="Times New Roman"/>
          <w:b/>
          <w:bCs/>
          <w:sz w:val="24"/>
          <w:szCs w:val="24"/>
        </w:rPr>
        <w:t xml:space="preserve"> </w:t>
      </w:r>
      <w:r w:rsidR="00E3356F">
        <w:rPr>
          <w:rFonts w:ascii="Times New Roman" w:hAnsi="Times New Roman"/>
          <w:b/>
          <w:bCs/>
          <w:sz w:val="24"/>
          <w:szCs w:val="24"/>
        </w:rPr>
        <w:t>ocupação</w:t>
      </w:r>
      <w:r w:rsidR="000329B8">
        <w:rPr>
          <w:rFonts w:ascii="Times New Roman" w:hAnsi="Times New Roman"/>
          <w:b/>
          <w:bCs/>
          <w:sz w:val="24"/>
          <w:szCs w:val="24"/>
        </w:rPr>
        <w:t xml:space="preserve"> </w:t>
      </w:r>
      <w:r w:rsidR="00E3356F">
        <w:rPr>
          <w:rFonts w:ascii="Times New Roman" w:hAnsi="Times New Roman"/>
          <w:b/>
          <w:bCs/>
          <w:sz w:val="24"/>
          <w:szCs w:val="24"/>
        </w:rPr>
        <w:t>por</w:t>
      </w:r>
      <w:r w:rsidR="000329B8">
        <w:rPr>
          <w:rFonts w:ascii="Times New Roman" w:hAnsi="Times New Roman"/>
          <w:b/>
          <w:bCs/>
          <w:sz w:val="24"/>
          <w:szCs w:val="24"/>
        </w:rPr>
        <w:t xml:space="preserve"> servidor </w:t>
      </w:r>
      <w:r w:rsidR="00E3356F">
        <w:rPr>
          <w:rFonts w:ascii="Times New Roman" w:hAnsi="Times New Roman"/>
          <w:b/>
          <w:bCs/>
          <w:sz w:val="24"/>
          <w:szCs w:val="24"/>
        </w:rPr>
        <w:t xml:space="preserve">de cargo </w:t>
      </w:r>
      <w:r w:rsidR="00E3356F" w:rsidRPr="00D95428">
        <w:rPr>
          <w:rFonts w:ascii="Times New Roman" w:hAnsi="Times New Roman"/>
          <w:b/>
          <w:bCs/>
          <w:sz w:val="24"/>
          <w:szCs w:val="24"/>
        </w:rPr>
        <w:t>no Conselho</w:t>
      </w:r>
      <w:r w:rsidR="00E3356F">
        <w:rPr>
          <w:rFonts w:ascii="Times New Roman" w:hAnsi="Times New Roman"/>
          <w:b/>
          <w:bCs/>
          <w:sz w:val="24"/>
          <w:szCs w:val="24"/>
        </w:rPr>
        <w:t xml:space="preserve"> de Seccional ou de Subseccional da </w:t>
      </w:r>
      <w:r w:rsidR="000329B8">
        <w:rPr>
          <w:rFonts w:ascii="Times New Roman" w:hAnsi="Times New Roman"/>
          <w:b/>
          <w:bCs/>
          <w:sz w:val="24"/>
          <w:szCs w:val="24"/>
        </w:rPr>
        <w:t>Ordem dos Advogados do Brasil no Distrito Federal</w:t>
      </w:r>
      <w:r>
        <w:rPr>
          <w:rFonts w:ascii="Times New Roman" w:hAnsi="Times New Roman"/>
          <w:b/>
          <w:bCs/>
          <w:sz w:val="24"/>
          <w:szCs w:val="24"/>
        </w:rPr>
        <w:t>.</w:t>
      </w:r>
    </w:p>
    <w:p w:rsidR="00D90D1C" w:rsidRDefault="00770F79" w:rsidP="003575BA">
      <w:pPr>
        <w:tabs>
          <w:tab w:val="left" w:pos="1134"/>
        </w:tabs>
        <w:spacing w:before="60" w:after="60"/>
        <w:jc w:val="both"/>
      </w:pPr>
      <w:r>
        <w:tab/>
      </w:r>
    </w:p>
    <w:p w:rsidR="00A15F12" w:rsidRPr="00796B87" w:rsidRDefault="00D90D1C" w:rsidP="003575BA">
      <w:pPr>
        <w:tabs>
          <w:tab w:val="left" w:pos="1134"/>
        </w:tabs>
        <w:spacing w:before="60" w:after="60"/>
        <w:jc w:val="both"/>
        <w:rPr>
          <w:color w:val="000000"/>
          <w:shd w:val="clear" w:color="auto" w:fill="FFFFFF"/>
        </w:rPr>
      </w:pPr>
      <w:r>
        <w:tab/>
      </w:r>
      <w:r w:rsidR="00805B7F" w:rsidRPr="00260F40">
        <w:t>Trata-se de consulta formulada</w:t>
      </w:r>
      <w:r w:rsidR="000A7CEB" w:rsidRPr="00260F40">
        <w:t xml:space="preserve">, em </w:t>
      </w:r>
      <w:r w:rsidR="002757D6" w:rsidRPr="00260F40">
        <w:t>1</w:t>
      </w:r>
      <w:r w:rsidR="003575BA" w:rsidRPr="00260F40">
        <w:t>6</w:t>
      </w:r>
      <w:r w:rsidR="005B77F0" w:rsidRPr="00260F40">
        <w:t>/</w:t>
      </w:r>
      <w:r w:rsidR="003575BA" w:rsidRPr="00260F40">
        <w:t>10</w:t>
      </w:r>
      <w:r w:rsidR="000A7CEB" w:rsidRPr="00260F40">
        <w:t>/202</w:t>
      </w:r>
      <w:r w:rsidR="005B77F0" w:rsidRPr="00260F40">
        <w:t>1</w:t>
      </w:r>
      <w:r w:rsidR="000A7CEB" w:rsidRPr="00260F40">
        <w:t>,</w:t>
      </w:r>
      <w:r w:rsidR="00805B7F" w:rsidRPr="00260F40">
        <w:t xml:space="preserve"> </w:t>
      </w:r>
      <w:r w:rsidR="00C753C6" w:rsidRPr="00260F40">
        <w:t>por servidor deste Tribunal</w:t>
      </w:r>
      <w:r w:rsidR="004157A7" w:rsidRPr="00260F40">
        <w:t>,</w:t>
      </w:r>
      <w:r w:rsidR="00C753C6" w:rsidRPr="00260F40">
        <w:t xml:space="preserve"> </w:t>
      </w:r>
      <w:r w:rsidR="0020569B" w:rsidRPr="00260F40">
        <w:rPr>
          <w:color w:val="000000"/>
          <w:shd w:val="clear" w:color="auto" w:fill="FFFFFF"/>
        </w:rPr>
        <w:t>com o seguinte teor:</w:t>
      </w:r>
      <w:r w:rsidR="0020569B" w:rsidRPr="00796B87">
        <w:rPr>
          <w:color w:val="000000"/>
          <w:shd w:val="clear" w:color="auto" w:fill="FFFFFF"/>
        </w:rPr>
        <w:t xml:space="preserve"> </w:t>
      </w:r>
    </w:p>
    <w:p w:rsidR="003575BA" w:rsidRPr="003575BA" w:rsidRDefault="003575BA" w:rsidP="00E1255F">
      <w:pPr>
        <w:spacing w:before="60" w:after="60"/>
        <w:ind w:left="567"/>
        <w:jc w:val="both"/>
        <w:rPr>
          <w:color w:val="000000"/>
          <w:sz w:val="22"/>
          <w:szCs w:val="22"/>
        </w:rPr>
      </w:pPr>
      <w:r w:rsidRPr="003575BA">
        <w:rPr>
          <w:color w:val="000000"/>
          <w:sz w:val="22"/>
          <w:szCs w:val="22"/>
          <w:shd w:val="clear" w:color="auto" w:fill="FFFFFF"/>
        </w:rPr>
        <w:t>“Requeiro a manifestação da Comissão de Ética em relação à possibilidade de auditor do TCU (AuFC), exercendo ou não de função de confiança, ocupar o Conselho de Subseccional ou de Seccional da Ordem dos Advogados do Brasil (OAB) do Distrito Federal. A OAB possui em cada Estado e no Distrito Federal Seções, que são subdividas em subseções. O cargo de conselheiro da OAB está previsto no art. 48 do Estatuto da OAB (Lei 8.906/1994). As competências do Conselho da Seccional estão dispostas no art. 58 do Estatuto da OAB. Já as competências do Conselho da Subseccional estão dispostas no art. 58 c/c o art. 61, § único, do Estatuto da OAB.”</w:t>
      </w:r>
      <w:r w:rsidR="00796B87" w:rsidRPr="003575BA">
        <w:rPr>
          <w:color w:val="000000"/>
          <w:sz w:val="22"/>
          <w:szCs w:val="22"/>
        </w:rPr>
        <w:tab/>
      </w:r>
    </w:p>
    <w:p w:rsidR="003B0B04" w:rsidRDefault="003B0B04" w:rsidP="003575BA">
      <w:pPr>
        <w:tabs>
          <w:tab w:val="left" w:pos="1134"/>
        </w:tabs>
        <w:spacing w:before="60" w:after="60"/>
        <w:jc w:val="both"/>
        <w:rPr>
          <w:b/>
        </w:rPr>
      </w:pPr>
      <w:r w:rsidRPr="003B0B04">
        <w:rPr>
          <w:b/>
        </w:rPr>
        <w:t>EXAME</w:t>
      </w:r>
    </w:p>
    <w:p w:rsidR="00DB528E" w:rsidRDefault="00DB528E" w:rsidP="003575BA">
      <w:pPr>
        <w:tabs>
          <w:tab w:val="left" w:pos="1134"/>
        </w:tabs>
        <w:spacing w:before="60" w:after="60"/>
        <w:jc w:val="both"/>
        <w:rPr>
          <w:b/>
        </w:rPr>
      </w:pPr>
      <w:r>
        <w:rPr>
          <w:b/>
        </w:rPr>
        <w:t>Considerações Preliminares</w:t>
      </w:r>
    </w:p>
    <w:p w:rsidR="002D09B7" w:rsidRDefault="00D20946" w:rsidP="003575BA">
      <w:pPr>
        <w:tabs>
          <w:tab w:val="left" w:pos="1134"/>
        </w:tabs>
        <w:spacing w:before="60" w:after="60"/>
        <w:jc w:val="both"/>
      </w:pPr>
      <w:r>
        <w:tab/>
      </w:r>
      <w:r w:rsidR="002D09B7" w:rsidRPr="00260F40">
        <w:t xml:space="preserve">Pelo </w:t>
      </w:r>
      <w:r w:rsidR="00D95428" w:rsidRPr="00260F40">
        <w:t xml:space="preserve">conteúdo </w:t>
      </w:r>
      <w:r w:rsidR="002D09B7" w:rsidRPr="00260F40">
        <w:t xml:space="preserve">da presente consulta, nota-se que o questionamento </w:t>
      </w:r>
      <w:r w:rsidR="006F049E" w:rsidRPr="00260F40">
        <w:t xml:space="preserve">se </w:t>
      </w:r>
      <w:r w:rsidR="002D09B7" w:rsidRPr="00260F40">
        <w:t xml:space="preserve">relaciona com possível conflito </w:t>
      </w:r>
      <w:r w:rsidR="003575BA" w:rsidRPr="00260F40">
        <w:t>entre</w:t>
      </w:r>
      <w:r w:rsidR="002D09B7" w:rsidRPr="00260F40">
        <w:t xml:space="preserve"> interesse</w:t>
      </w:r>
      <w:r w:rsidR="00424BB1" w:rsidRPr="00260F40">
        <w:t>s</w:t>
      </w:r>
      <w:r w:rsidR="003575BA" w:rsidRPr="00260F40">
        <w:t xml:space="preserve"> públicos e privados</w:t>
      </w:r>
      <w:r w:rsidR="002D09B7" w:rsidRPr="00260F40">
        <w:t xml:space="preserve">, sobre o qual o atual Código de Ética dos servidores do Tribunal, aprovado pela Resolução-TCU 226/2009, estabelece </w:t>
      </w:r>
      <w:r w:rsidR="0080740D" w:rsidRPr="00260F40">
        <w:t xml:space="preserve">apenas </w:t>
      </w:r>
      <w:r w:rsidR="002D09B7" w:rsidRPr="00260F40">
        <w:t xml:space="preserve">regras básicas, consoante </w:t>
      </w:r>
      <w:r w:rsidR="0080740D" w:rsidRPr="00260F40">
        <w:t>se deduz</w:t>
      </w:r>
      <w:r w:rsidR="002757D6" w:rsidRPr="00260F40">
        <w:t>, por exemplo,</w:t>
      </w:r>
      <w:r w:rsidR="0080740D" w:rsidRPr="00260F40">
        <w:t xml:space="preserve"> d</w:t>
      </w:r>
      <w:r w:rsidR="002D09B7" w:rsidRPr="00260F40">
        <w:t>as seguintes disposições:</w:t>
      </w:r>
    </w:p>
    <w:p w:rsidR="002D09B7" w:rsidRPr="002D09B7" w:rsidRDefault="002D09B7" w:rsidP="00E1255F">
      <w:pPr>
        <w:pStyle w:val="Artigo"/>
        <w:tabs>
          <w:tab w:val="left" w:pos="567"/>
        </w:tabs>
        <w:spacing w:before="60" w:after="60"/>
        <w:ind w:left="567" w:firstLine="0"/>
        <w:rPr>
          <w:rFonts w:ascii="Times New Roman" w:hAnsi="Times New Roman"/>
          <w:sz w:val="22"/>
          <w:szCs w:val="22"/>
        </w:rPr>
      </w:pPr>
      <w:r w:rsidRPr="002D09B7">
        <w:rPr>
          <w:rFonts w:ascii="Times New Roman" w:hAnsi="Times New Roman"/>
          <w:sz w:val="22"/>
          <w:szCs w:val="22"/>
        </w:rPr>
        <w:t>“Art. 5º É dever de todo servidor do Tribunal de Contas da União:</w:t>
      </w:r>
    </w:p>
    <w:p w:rsidR="0080740D" w:rsidRDefault="0080740D" w:rsidP="00E1255F">
      <w:pPr>
        <w:pStyle w:val="Inciso"/>
        <w:tabs>
          <w:tab w:val="left" w:pos="567"/>
        </w:tabs>
        <w:spacing w:before="60" w:after="60"/>
        <w:ind w:left="567" w:firstLine="0"/>
        <w:rPr>
          <w:rFonts w:ascii="Times New Roman" w:hAnsi="Times New Roman"/>
          <w:sz w:val="22"/>
          <w:szCs w:val="22"/>
        </w:rPr>
      </w:pPr>
      <w:r>
        <w:rPr>
          <w:rFonts w:ascii="Times New Roman" w:hAnsi="Times New Roman"/>
          <w:sz w:val="22"/>
          <w:szCs w:val="22"/>
        </w:rPr>
        <w:t>(...)</w:t>
      </w:r>
    </w:p>
    <w:p w:rsidR="002D09B7" w:rsidRPr="002D09B7" w:rsidRDefault="002D09B7" w:rsidP="00E1255F">
      <w:pPr>
        <w:pStyle w:val="Inciso"/>
        <w:tabs>
          <w:tab w:val="left" w:pos="567"/>
        </w:tabs>
        <w:spacing w:before="60" w:after="60"/>
        <w:ind w:left="567" w:firstLine="0"/>
        <w:rPr>
          <w:rFonts w:ascii="Times New Roman" w:hAnsi="Times New Roman"/>
          <w:sz w:val="22"/>
          <w:szCs w:val="22"/>
        </w:rPr>
      </w:pPr>
      <w:r w:rsidRPr="002D09B7">
        <w:rPr>
          <w:rFonts w:ascii="Times New Roman" w:hAnsi="Times New Roman"/>
          <w:sz w:val="22"/>
          <w:szCs w:val="22"/>
        </w:rPr>
        <w:t xml:space="preserve">X – evitar quaisquer ações ou relações conflitantes, ou potencialmente conflitantes, com suas responsabilidades profissionais, enviando à Comissão de Ética informações sobre relações, situação patrimonial, </w:t>
      </w:r>
      <w:r w:rsidRPr="0080740D">
        <w:rPr>
          <w:rFonts w:ascii="Times New Roman" w:hAnsi="Times New Roman"/>
          <w:b/>
          <w:bCs/>
          <w:sz w:val="22"/>
          <w:szCs w:val="22"/>
        </w:rPr>
        <w:t>atividades econômicas ou profissionais que, real ou potencialmente, possam suscitar conflito de interesses,</w:t>
      </w:r>
      <w:r w:rsidRPr="002D09B7">
        <w:rPr>
          <w:rFonts w:ascii="Times New Roman" w:hAnsi="Times New Roman"/>
          <w:sz w:val="22"/>
          <w:szCs w:val="22"/>
        </w:rPr>
        <w:t xml:space="preserve"> indicando o modo pelo qual pretende evitá-lo, na forma definida pela Comissão de Ética;</w:t>
      </w:r>
    </w:p>
    <w:p w:rsidR="002D09B7" w:rsidRPr="002D09B7" w:rsidRDefault="002D09B7" w:rsidP="00E1255F">
      <w:pPr>
        <w:pStyle w:val="Inciso"/>
        <w:tabs>
          <w:tab w:val="left" w:pos="567"/>
        </w:tabs>
        <w:spacing w:before="60" w:after="60"/>
        <w:ind w:left="567" w:firstLine="0"/>
        <w:rPr>
          <w:rFonts w:ascii="Times New Roman" w:hAnsi="Times New Roman"/>
          <w:sz w:val="22"/>
          <w:szCs w:val="22"/>
        </w:rPr>
      </w:pPr>
      <w:r w:rsidRPr="002D09B7">
        <w:rPr>
          <w:rFonts w:ascii="Times New Roman" w:hAnsi="Times New Roman"/>
          <w:sz w:val="22"/>
          <w:szCs w:val="22"/>
        </w:rPr>
        <w:t>XII – </w:t>
      </w:r>
      <w:r w:rsidRPr="0080740D">
        <w:rPr>
          <w:rFonts w:ascii="Times New Roman" w:hAnsi="Times New Roman"/>
          <w:b/>
          <w:bCs/>
          <w:sz w:val="22"/>
          <w:szCs w:val="22"/>
        </w:rPr>
        <w:t>manter-se afastado de quaisquer atividades que reduzam ou denotem reduzir sua autonomia e independência profissional</w:t>
      </w:r>
      <w:r w:rsidRPr="002D09B7">
        <w:rPr>
          <w:rFonts w:ascii="Times New Roman" w:hAnsi="Times New Roman"/>
          <w:sz w:val="22"/>
          <w:szCs w:val="22"/>
        </w:rPr>
        <w:t>;</w:t>
      </w:r>
    </w:p>
    <w:p w:rsidR="0080740D" w:rsidRDefault="0080740D" w:rsidP="00E1255F">
      <w:pPr>
        <w:pStyle w:val="Artigo"/>
        <w:tabs>
          <w:tab w:val="left" w:pos="567"/>
        </w:tabs>
        <w:spacing w:before="60" w:after="60"/>
        <w:ind w:left="567" w:firstLine="0"/>
        <w:rPr>
          <w:rFonts w:ascii="Times New Roman" w:hAnsi="Times New Roman"/>
          <w:sz w:val="22"/>
          <w:szCs w:val="22"/>
        </w:rPr>
      </w:pPr>
      <w:r>
        <w:rPr>
          <w:rFonts w:ascii="Times New Roman" w:hAnsi="Times New Roman"/>
          <w:sz w:val="22"/>
          <w:szCs w:val="22"/>
        </w:rPr>
        <w:t>(...)</w:t>
      </w:r>
    </w:p>
    <w:p w:rsidR="002D09B7" w:rsidRPr="002D09B7" w:rsidRDefault="002D09B7" w:rsidP="00E1255F">
      <w:pPr>
        <w:pStyle w:val="Artigo"/>
        <w:tabs>
          <w:tab w:val="left" w:pos="567"/>
        </w:tabs>
        <w:spacing w:before="60" w:after="60"/>
        <w:ind w:left="567" w:firstLine="0"/>
        <w:rPr>
          <w:rFonts w:ascii="Times New Roman" w:hAnsi="Times New Roman"/>
          <w:sz w:val="22"/>
          <w:szCs w:val="22"/>
        </w:rPr>
      </w:pPr>
      <w:r w:rsidRPr="002D09B7">
        <w:rPr>
          <w:rFonts w:ascii="Times New Roman" w:hAnsi="Times New Roman"/>
          <w:sz w:val="22"/>
          <w:szCs w:val="22"/>
        </w:rPr>
        <w:t>Art. 9º O servidor deverá declarar impedimento ou suspeição nas situações que possam afetar, ou parecer afetar, o desempenho de suas funções com independência e imparcialidade, especialmente nas seguintes hipóteses:</w:t>
      </w:r>
    </w:p>
    <w:p w:rsidR="002D09B7" w:rsidRPr="002D09B7" w:rsidRDefault="002D09B7" w:rsidP="00E1255F">
      <w:pPr>
        <w:pStyle w:val="Inciso"/>
        <w:tabs>
          <w:tab w:val="left" w:pos="567"/>
        </w:tabs>
        <w:spacing w:before="60" w:after="60"/>
        <w:ind w:left="567" w:firstLine="0"/>
        <w:rPr>
          <w:rFonts w:ascii="Times New Roman" w:hAnsi="Times New Roman"/>
          <w:sz w:val="22"/>
          <w:szCs w:val="22"/>
        </w:rPr>
      </w:pPr>
      <w:r w:rsidRPr="002D09B7">
        <w:rPr>
          <w:rFonts w:ascii="Times New Roman" w:hAnsi="Times New Roman"/>
          <w:sz w:val="22"/>
          <w:szCs w:val="22"/>
        </w:rPr>
        <w:t xml:space="preserve">I – participar de trabalho de fiscalização ou qualquer outra missão ou tarefa que lhe tenha sido </w:t>
      </w:r>
      <w:r w:rsidRPr="002D09B7">
        <w:rPr>
          <w:rFonts w:ascii="Times New Roman" w:hAnsi="Times New Roman"/>
          <w:sz w:val="22"/>
          <w:szCs w:val="22"/>
        </w:rPr>
        <w:lastRenderedPageBreak/>
        <w:t xml:space="preserve">confiada, por meio de justificativa reduzida a termo, quando estiver presente </w:t>
      </w:r>
      <w:r w:rsidRPr="0080740D">
        <w:rPr>
          <w:rFonts w:ascii="Times New Roman" w:hAnsi="Times New Roman"/>
          <w:b/>
          <w:bCs/>
          <w:sz w:val="22"/>
          <w:szCs w:val="22"/>
        </w:rPr>
        <w:t>conflito de interesses</w:t>
      </w:r>
      <w:r w:rsidRPr="002D09B7">
        <w:rPr>
          <w:rFonts w:ascii="Times New Roman" w:hAnsi="Times New Roman"/>
          <w:sz w:val="22"/>
          <w:szCs w:val="22"/>
        </w:rPr>
        <w:t>;</w:t>
      </w:r>
    </w:p>
    <w:p w:rsidR="002D09B7" w:rsidRPr="002D09B7" w:rsidRDefault="001C5BE5" w:rsidP="00E1255F">
      <w:pPr>
        <w:pStyle w:val="Inciso"/>
        <w:tabs>
          <w:tab w:val="left" w:pos="567"/>
        </w:tabs>
        <w:spacing w:before="60" w:after="60"/>
        <w:ind w:left="567" w:firstLine="0"/>
        <w:rPr>
          <w:rFonts w:ascii="Times New Roman" w:hAnsi="Times New Roman"/>
          <w:sz w:val="22"/>
          <w:szCs w:val="22"/>
        </w:rPr>
      </w:pPr>
      <w:r>
        <w:rPr>
          <w:rFonts w:ascii="Times New Roman" w:hAnsi="Times New Roman"/>
          <w:sz w:val="22"/>
          <w:szCs w:val="22"/>
        </w:rPr>
        <w:t>(...)</w:t>
      </w:r>
      <w:r w:rsidR="002D09B7">
        <w:rPr>
          <w:rFonts w:ascii="Times New Roman" w:hAnsi="Times New Roman"/>
          <w:sz w:val="22"/>
          <w:szCs w:val="22"/>
        </w:rPr>
        <w:t>”</w:t>
      </w:r>
      <w:r w:rsidR="0080740D">
        <w:rPr>
          <w:rFonts w:ascii="Times New Roman" w:hAnsi="Times New Roman"/>
          <w:sz w:val="22"/>
          <w:szCs w:val="22"/>
        </w:rPr>
        <w:t xml:space="preserve"> </w:t>
      </w:r>
      <w:r w:rsidR="0080740D" w:rsidRPr="0080740D">
        <w:rPr>
          <w:rFonts w:ascii="Times New Roman" w:hAnsi="Times New Roman"/>
        </w:rPr>
        <w:t>(</w:t>
      </w:r>
      <w:r w:rsidR="00424BB1">
        <w:rPr>
          <w:rFonts w:ascii="Times New Roman" w:hAnsi="Times New Roman"/>
        </w:rPr>
        <w:t>desta</w:t>
      </w:r>
      <w:r w:rsidR="00805A46">
        <w:rPr>
          <w:rFonts w:ascii="Times New Roman" w:hAnsi="Times New Roman"/>
        </w:rPr>
        <w:t>ques acrescidos</w:t>
      </w:r>
      <w:r w:rsidR="0080740D" w:rsidRPr="0080740D">
        <w:rPr>
          <w:rFonts w:ascii="Times New Roman" w:hAnsi="Times New Roman"/>
        </w:rPr>
        <w:t>)</w:t>
      </w:r>
    </w:p>
    <w:p w:rsidR="00392878" w:rsidRPr="00260F40" w:rsidRDefault="002D09B7" w:rsidP="003575BA">
      <w:pPr>
        <w:tabs>
          <w:tab w:val="left" w:pos="1134"/>
        </w:tabs>
        <w:spacing w:before="60" w:after="60"/>
        <w:jc w:val="both"/>
      </w:pPr>
      <w:r>
        <w:tab/>
      </w:r>
      <w:r w:rsidR="005275A4" w:rsidRPr="00260F40">
        <w:t>Diante da</w:t>
      </w:r>
      <w:r w:rsidR="00C753C6" w:rsidRPr="00260F40">
        <w:t xml:space="preserve"> inexistência de normas específicas </w:t>
      </w:r>
      <w:r w:rsidR="005275A4" w:rsidRPr="00260F40">
        <w:t xml:space="preserve">no Código de Ética do TCU </w:t>
      </w:r>
      <w:r w:rsidR="00C753C6" w:rsidRPr="00260F40">
        <w:t xml:space="preserve">sobre </w:t>
      </w:r>
      <w:r w:rsidR="00AD64EC" w:rsidRPr="00260F40">
        <w:t>a</w:t>
      </w:r>
      <w:r w:rsidR="005275A4" w:rsidRPr="00260F40">
        <w:t>s situações</w:t>
      </w:r>
      <w:r w:rsidR="0080740D" w:rsidRPr="00260F40">
        <w:t xml:space="preserve"> </w:t>
      </w:r>
      <w:r w:rsidR="00D95428" w:rsidRPr="00260F40">
        <w:t xml:space="preserve">particulares </w:t>
      </w:r>
      <w:r w:rsidR="00C753C6" w:rsidRPr="00260F40">
        <w:t>caracteriza</w:t>
      </w:r>
      <w:r w:rsidR="005275A4" w:rsidRPr="00260F40">
        <w:t>doras</w:t>
      </w:r>
      <w:r w:rsidR="00C753C6" w:rsidRPr="00260F40">
        <w:t xml:space="preserve"> </w:t>
      </w:r>
      <w:r w:rsidR="003B0B04" w:rsidRPr="00260F40">
        <w:t xml:space="preserve">de conflito </w:t>
      </w:r>
      <w:r w:rsidR="00E3356F" w:rsidRPr="00260F40">
        <w:t xml:space="preserve">entre </w:t>
      </w:r>
      <w:r w:rsidR="003B0B04" w:rsidRPr="00260F40">
        <w:t>interesse</w:t>
      </w:r>
      <w:r w:rsidR="00424BB1" w:rsidRPr="00260F40">
        <w:t>s</w:t>
      </w:r>
      <w:r w:rsidR="00E3356F" w:rsidRPr="00260F40">
        <w:t xml:space="preserve"> públicos e privados</w:t>
      </w:r>
      <w:r w:rsidR="003B0B04" w:rsidRPr="00260F40">
        <w:t xml:space="preserve">, </w:t>
      </w:r>
      <w:r w:rsidR="00C753C6" w:rsidRPr="00260F40">
        <w:t xml:space="preserve">esta </w:t>
      </w:r>
      <w:r w:rsidR="005B5F7F" w:rsidRPr="00260F40">
        <w:t>Comissão de Ética (</w:t>
      </w:r>
      <w:r w:rsidR="003B0B04" w:rsidRPr="00260F40">
        <w:t>CET</w:t>
      </w:r>
      <w:r w:rsidR="005B5F7F" w:rsidRPr="00260F40">
        <w:t>)</w:t>
      </w:r>
      <w:r w:rsidR="00C753C6" w:rsidRPr="00260F40">
        <w:t xml:space="preserve"> </w:t>
      </w:r>
      <w:r w:rsidR="003B0B04" w:rsidRPr="00260F40">
        <w:t>tem</w:t>
      </w:r>
      <w:r w:rsidR="00C753C6" w:rsidRPr="00260F40">
        <w:t xml:space="preserve"> buscado suprir </w:t>
      </w:r>
      <w:r w:rsidR="00D95428" w:rsidRPr="00260F40">
        <w:t>lacunas</w:t>
      </w:r>
      <w:r w:rsidR="00C753C6" w:rsidRPr="00260F40">
        <w:t xml:space="preserve"> </w:t>
      </w:r>
      <w:r w:rsidR="005275A4" w:rsidRPr="00260F40">
        <w:t>em suas manifestações com a u</w:t>
      </w:r>
      <w:r w:rsidR="00392878" w:rsidRPr="00260F40">
        <w:t>tiliza</w:t>
      </w:r>
      <w:r w:rsidR="005275A4" w:rsidRPr="00260F40">
        <w:t>ção</w:t>
      </w:r>
      <w:r w:rsidR="00392878" w:rsidRPr="00260F40">
        <w:t xml:space="preserve"> </w:t>
      </w:r>
      <w:r w:rsidR="00C753C6" w:rsidRPr="00260F40">
        <w:t>d</w:t>
      </w:r>
      <w:r w:rsidR="00392878" w:rsidRPr="00260F40">
        <w:t>a Lei 12.813/2013</w:t>
      </w:r>
      <w:r w:rsidR="00C753C6" w:rsidRPr="00260F40">
        <w:t xml:space="preserve">, que dispõe sobre conflito de interesses no exercício de cargo ou emprego do Poder Executivo </w:t>
      </w:r>
      <w:r w:rsidR="00140087" w:rsidRPr="00260F40">
        <w:t>federal.</w:t>
      </w:r>
      <w:r w:rsidR="00D95428" w:rsidRPr="00260F40">
        <w:t xml:space="preserve"> </w:t>
      </w:r>
    </w:p>
    <w:p w:rsidR="003575BA" w:rsidRPr="00CB5BD2" w:rsidRDefault="003575BA" w:rsidP="003575BA">
      <w:pPr>
        <w:tabs>
          <w:tab w:val="left" w:pos="1134"/>
        </w:tabs>
        <w:spacing w:before="60" w:after="60"/>
        <w:jc w:val="both"/>
      </w:pPr>
      <w:r w:rsidRPr="00260F40">
        <w:tab/>
        <w:t xml:space="preserve">Recentemente, ao dirimir dúvidas a respeito de interpretação e aplicação do código, </w:t>
      </w:r>
      <w:r w:rsidRPr="00260F40">
        <w:rPr>
          <w:shd w:val="clear" w:color="auto" w:fill="FFFFFF"/>
        </w:rPr>
        <w:t>esta c</w:t>
      </w:r>
      <w:r w:rsidRPr="00260F40">
        <w:t xml:space="preserve">omissão está </w:t>
      </w:r>
      <w:r w:rsidR="00E3356F" w:rsidRPr="00260F40">
        <w:t>se valendo</w:t>
      </w:r>
      <w:r w:rsidRPr="00260F40">
        <w:t xml:space="preserve"> </w:t>
      </w:r>
      <w:r w:rsidR="006D7477" w:rsidRPr="00260F40">
        <w:t xml:space="preserve">também </w:t>
      </w:r>
      <w:r w:rsidR="00E3356F" w:rsidRPr="00260F40">
        <w:t>d</w:t>
      </w:r>
      <w:r w:rsidRPr="00260F40">
        <w:t>as prescrições</w:t>
      </w:r>
      <w:r w:rsidR="006D7477" w:rsidRPr="00260F40">
        <w:t xml:space="preserve"> </w:t>
      </w:r>
      <w:r w:rsidR="00E3356F" w:rsidRPr="00260F40">
        <w:t xml:space="preserve">– </w:t>
      </w:r>
      <w:r w:rsidR="006D7477" w:rsidRPr="00260F40">
        <w:t>que não importem em prejuízos para o servidor</w:t>
      </w:r>
      <w:r w:rsidRPr="00260F40">
        <w:t xml:space="preserve"> </w:t>
      </w:r>
      <w:r w:rsidR="00E3356F" w:rsidRPr="00260F40">
        <w:t xml:space="preserve">– </w:t>
      </w:r>
      <w:r w:rsidRPr="00260F40">
        <w:t>do novo Código de Conduta</w:t>
      </w:r>
      <w:r w:rsidR="006D7477" w:rsidRPr="00260F40">
        <w:t xml:space="preserve"> Ética</w:t>
      </w:r>
      <w:r w:rsidR="000C4A00" w:rsidRPr="00260F40">
        <w:t>,</w:t>
      </w:r>
      <w:r w:rsidRPr="00260F40">
        <w:t xml:space="preserve"> aprovado pela Resolução-TCU 330/2021</w:t>
      </w:r>
      <w:r w:rsidR="006D7477" w:rsidRPr="00260F40">
        <w:t xml:space="preserve">, o qual entrará em vigor em 17/3/2022, em especial </w:t>
      </w:r>
      <w:r w:rsidR="00E3356F" w:rsidRPr="00260F40">
        <w:t>d</w:t>
      </w:r>
      <w:r w:rsidR="00BB1906" w:rsidRPr="00260F40">
        <w:t>os artigos</w:t>
      </w:r>
      <w:r w:rsidR="006D7477" w:rsidRPr="00260F40">
        <w:t xml:space="preserve"> </w:t>
      </w:r>
      <w:r w:rsidR="005414BD">
        <w:t xml:space="preserve">10 a 14, com destaque para o último, </w:t>
      </w:r>
      <w:r w:rsidR="00DF5A77" w:rsidRPr="00260F40">
        <w:t>reproduzid</w:t>
      </w:r>
      <w:r w:rsidR="00BB1906" w:rsidRPr="00260F40">
        <w:t>o</w:t>
      </w:r>
      <w:r w:rsidR="009B2D02" w:rsidRPr="00260F40">
        <w:t xml:space="preserve"> a seguir</w:t>
      </w:r>
      <w:r w:rsidR="006D7477" w:rsidRPr="00260F40">
        <w:t>:</w:t>
      </w:r>
    </w:p>
    <w:p w:rsidR="003575BA" w:rsidRPr="00CB5BD2" w:rsidRDefault="003575BA" w:rsidP="00E1255F">
      <w:pPr>
        <w:tabs>
          <w:tab w:val="left" w:pos="1134"/>
        </w:tabs>
        <w:ind w:left="851"/>
        <w:jc w:val="both"/>
        <w:rPr>
          <w:sz w:val="22"/>
          <w:szCs w:val="22"/>
        </w:rPr>
      </w:pPr>
      <w:r w:rsidRPr="00CB5BD2">
        <w:rPr>
          <w:sz w:val="22"/>
          <w:szCs w:val="22"/>
        </w:rPr>
        <w:t>“Art. 14. Pode configurar conflito de interesses, a ser averiguado no caso concreto:</w:t>
      </w:r>
    </w:p>
    <w:p w:rsidR="003575BA" w:rsidRPr="00173402" w:rsidRDefault="003575BA" w:rsidP="00E1255F">
      <w:pPr>
        <w:tabs>
          <w:tab w:val="left" w:pos="1134"/>
        </w:tabs>
        <w:ind w:left="851"/>
        <w:jc w:val="both"/>
        <w:rPr>
          <w:sz w:val="22"/>
          <w:szCs w:val="22"/>
        </w:rPr>
      </w:pPr>
      <w:r w:rsidRPr="00173402">
        <w:rPr>
          <w:sz w:val="22"/>
          <w:szCs w:val="22"/>
        </w:rPr>
        <w:t xml:space="preserve">I - realização de trabalho ou prestação de serviços de consultoria, de advocacia, de assessoria, de assistência técnica, de organização ou ministração de cursos, seminários ou palestras, de forma remunerada ou não, de natureza permanente ou eventual, ainda que fora de seu expediente, a: </w:t>
      </w:r>
    </w:p>
    <w:p w:rsidR="003575BA" w:rsidRPr="00CB5BD2" w:rsidRDefault="003575BA" w:rsidP="00E1255F">
      <w:pPr>
        <w:tabs>
          <w:tab w:val="left" w:pos="1134"/>
        </w:tabs>
        <w:ind w:left="851"/>
        <w:jc w:val="both"/>
        <w:rPr>
          <w:sz w:val="22"/>
          <w:szCs w:val="22"/>
        </w:rPr>
      </w:pPr>
      <w:r w:rsidRPr="00CB5BD2">
        <w:rPr>
          <w:sz w:val="22"/>
          <w:szCs w:val="22"/>
        </w:rPr>
        <w:t xml:space="preserve">a) qualquer pessoa física ou jurídica de natureza privada que </w:t>
      </w:r>
      <w:r w:rsidRPr="00CB5BD2">
        <w:rPr>
          <w:b/>
          <w:bCs/>
          <w:sz w:val="22"/>
          <w:szCs w:val="22"/>
        </w:rPr>
        <w:t>esteja sob a jurisdição do Tribunal de Contas da União</w:t>
      </w:r>
      <w:r w:rsidRPr="00CB5BD2">
        <w:rPr>
          <w:sz w:val="22"/>
          <w:szCs w:val="22"/>
        </w:rPr>
        <w:t xml:space="preserve"> ou que com ele mantenha relação contratual, ou que atue como representante legal, em processos do TCU, de pessoas físicas ou jurídicas; ou </w:t>
      </w:r>
    </w:p>
    <w:p w:rsidR="003575BA" w:rsidRPr="00CB5BD2" w:rsidRDefault="003575BA" w:rsidP="00E1255F">
      <w:pPr>
        <w:tabs>
          <w:tab w:val="left" w:pos="1134"/>
        </w:tabs>
        <w:ind w:left="851"/>
        <w:jc w:val="both"/>
        <w:rPr>
          <w:sz w:val="22"/>
          <w:szCs w:val="22"/>
        </w:rPr>
      </w:pPr>
      <w:r w:rsidRPr="00CB5BD2">
        <w:rPr>
          <w:sz w:val="22"/>
          <w:szCs w:val="22"/>
        </w:rPr>
        <w:t xml:space="preserve">b) </w:t>
      </w:r>
      <w:r w:rsidRPr="00CB5BD2">
        <w:rPr>
          <w:b/>
          <w:bCs/>
          <w:sz w:val="22"/>
          <w:szCs w:val="22"/>
        </w:rPr>
        <w:t>órgãos e entidades da administração direta, autárquica e fundacional, de qualquer dos Poderes da União, dos Estados, dos Municípios e do Distrito Federal</w:t>
      </w:r>
      <w:r w:rsidRPr="00CB5BD2">
        <w:rPr>
          <w:sz w:val="22"/>
          <w:szCs w:val="22"/>
        </w:rPr>
        <w:t xml:space="preserve">, especialmente os realizados no âmbito de convênios, acordos, ajustes ou instrumentos congêneres </w:t>
      </w:r>
      <w:r w:rsidRPr="00CB5BD2">
        <w:rPr>
          <w:b/>
          <w:bCs/>
          <w:sz w:val="22"/>
          <w:szCs w:val="22"/>
        </w:rPr>
        <w:t>custeados com recursos do Orçamento Geral da União</w:t>
      </w:r>
      <w:r w:rsidRPr="00CB5BD2">
        <w:rPr>
          <w:sz w:val="22"/>
          <w:szCs w:val="22"/>
        </w:rPr>
        <w:t>.</w:t>
      </w:r>
    </w:p>
    <w:p w:rsidR="003575BA" w:rsidRPr="00CB5BD2" w:rsidRDefault="00173402" w:rsidP="00E1255F">
      <w:pPr>
        <w:tabs>
          <w:tab w:val="left" w:pos="1134"/>
        </w:tabs>
        <w:ind w:left="851"/>
        <w:jc w:val="both"/>
        <w:rPr>
          <w:sz w:val="22"/>
          <w:szCs w:val="22"/>
        </w:rPr>
      </w:pPr>
      <w:r>
        <w:rPr>
          <w:sz w:val="22"/>
          <w:szCs w:val="22"/>
        </w:rPr>
        <w:t>(...)</w:t>
      </w:r>
      <w:r w:rsidR="003575BA" w:rsidRPr="00CB5BD2">
        <w:rPr>
          <w:sz w:val="22"/>
          <w:szCs w:val="22"/>
        </w:rPr>
        <w:t>”</w:t>
      </w:r>
      <w:r w:rsidR="00DF5A77">
        <w:rPr>
          <w:sz w:val="22"/>
          <w:szCs w:val="22"/>
        </w:rPr>
        <w:t xml:space="preserve"> </w:t>
      </w:r>
      <w:r w:rsidR="00DF5A77" w:rsidRPr="00DF5A77">
        <w:t>(</w:t>
      </w:r>
      <w:r w:rsidR="00260F40">
        <w:t>negritos</w:t>
      </w:r>
      <w:r w:rsidR="00DF5A77" w:rsidRPr="00DF5A77">
        <w:t xml:space="preserve"> acrescidos)</w:t>
      </w:r>
    </w:p>
    <w:p w:rsidR="00D90D1C" w:rsidRDefault="00D90D1C" w:rsidP="003575BA">
      <w:pPr>
        <w:tabs>
          <w:tab w:val="left" w:pos="1134"/>
        </w:tabs>
        <w:spacing w:before="60" w:after="60"/>
        <w:jc w:val="both"/>
        <w:rPr>
          <w:b/>
          <w:bCs/>
          <w:color w:val="000000"/>
        </w:rPr>
      </w:pPr>
    </w:p>
    <w:p w:rsidR="00DB528E" w:rsidRDefault="00DB528E" w:rsidP="003575BA">
      <w:pPr>
        <w:tabs>
          <w:tab w:val="left" w:pos="1134"/>
        </w:tabs>
        <w:spacing w:before="60" w:after="60"/>
        <w:jc w:val="both"/>
        <w:rPr>
          <w:b/>
          <w:bCs/>
          <w:color w:val="000000"/>
        </w:rPr>
      </w:pPr>
      <w:r w:rsidRPr="00DB528E">
        <w:rPr>
          <w:b/>
          <w:bCs/>
          <w:color w:val="000000"/>
        </w:rPr>
        <w:t>Caso concreto</w:t>
      </w:r>
    </w:p>
    <w:p w:rsidR="00173402" w:rsidRDefault="00DF5A77" w:rsidP="00260F40">
      <w:pPr>
        <w:spacing w:before="60" w:after="60"/>
        <w:ind w:firstLine="1134"/>
        <w:jc w:val="both"/>
      </w:pPr>
      <w:r w:rsidRPr="00260F40">
        <w:t>Quanto a</w:t>
      </w:r>
      <w:r w:rsidR="008001C2" w:rsidRPr="00260F40">
        <w:t xml:space="preserve">o </w:t>
      </w:r>
      <w:r w:rsidRPr="00260F40">
        <w:t>presente caso</w:t>
      </w:r>
      <w:r w:rsidR="00B02220" w:rsidRPr="00260F40">
        <w:t xml:space="preserve">, </w:t>
      </w:r>
      <w:r w:rsidR="006D7477" w:rsidRPr="00260F40">
        <w:t xml:space="preserve">cabe </w:t>
      </w:r>
      <w:r w:rsidR="003D7945">
        <w:t>fazer referência à</w:t>
      </w:r>
      <w:r w:rsidR="00173402" w:rsidRPr="00260F40">
        <w:t xml:space="preserve"> Manifestação 3/2021, </w:t>
      </w:r>
      <w:r w:rsidRPr="00260F40">
        <w:t xml:space="preserve">por meio da qual </w:t>
      </w:r>
      <w:r w:rsidR="00173402" w:rsidRPr="00260F40">
        <w:t>esta comissão concluiu</w:t>
      </w:r>
      <w:r w:rsidR="004157A7" w:rsidRPr="00260F40">
        <w:t>:</w:t>
      </w:r>
      <w:r w:rsidR="00173402" w:rsidRPr="00260F40">
        <w:t xml:space="preserve"> “</w:t>
      </w:r>
      <w:r w:rsidR="00173402" w:rsidRPr="00260F40">
        <w:rPr>
          <w:color w:val="000000"/>
          <w:sz w:val="20"/>
          <w:szCs w:val="22"/>
        </w:rPr>
        <w:t xml:space="preserve">a filiação de servidor do TCU </w:t>
      </w:r>
      <w:r w:rsidR="00173402" w:rsidRPr="00260F40">
        <w:rPr>
          <w:sz w:val="20"/>
          <w:szCs w:val="22"/>
        </w:rPr>
        <w:t xml:space="preserve">como membro da Comissão da Advocacia nos Órgãos de Controle da OAB/DF é </w:t>
      </w:r>
      <w:r w:rsidR="00173402" w:rsidRPr="00260F40">
        <w:rPr>
          <w:color w:val="000000"/>
          <w:sz w:val="20"/>
          <w:szCs w:val="22"/>
        </w:rPr>
        <w:t xml:space="preserve">incompatível com o exercício do cargo neste Tribunal, </w:t>
      </w:r>
      <w:r w:rsidR="00173402" w:rsidRPr="00260F40">
        <w:rPr>
          <w:sz w:val="20"/>
          <w:szCs w:val="22"/>
        </w:rPr>
        <w:t>por suscitar conflito de interesses, haja vista, principalmente, atuar aquela comissão preponderantemente na defesa das prerrogativas dos advogados perante os tribunais de contas, os quais, ao patrocinar partes arroladas em processos de controle externo, têm interesse nas deliberações proferidas por esta Casa</w:t>
      </w:r>
      <w:r w:rsidR="00173402" w:rsidRPr="00260F40">
        <w:t>”</w:t>
      </w:r>
      <w:r w:rsidRPr="00260F40">
        <w:t>.</w:t>
      </w:r>
    </w:p>
    <w:p w:rsidR="00173402" w:rsidRPr="005414BD" w:rsidRDefault="00173402" w:rsidP="00173402">
      <w:pPr>
        <w:spacing w:before="60" w:after="60"/>
        <w:ind w:firstLine="1134"/>
        <w:jc w:val="both"/>
      </w:pPr>
      <w:r w:rsidRPr="005414BD">
        <w:t>Essa conclusão fundamentou-se, em síntese, nas seguintes considerações:</w:t>
      </w:r>
    </w:p>
    <w:p w:rsidR="00AA4D0F" w:rsidRPr="005414BD" w:rsidRDefault="00AA4D0F" w:rsidP="00173402">
      <w:pPr>
        <w:numPr>
          <w:ilvl w:val="0"/>
          <w:numId w:val="11"/>
        </w:numPr>
        <w:tabs>
          <w:tab w:val="left" w:pos="1134"/>
        </w:tabs>
        <w:spacing w:before="60" w:after="60"/>
        <w:ind w:left="0" w:firstLine="1134"/>
        <w:jc w:val="both"/>
        <w:rPr>
          <w:shd w:val="clear" w:color="auto" w:fill="FFFFFF"/>
        </w:rPr>
      </w:pPr>
      <w:r w:rsidRPr="005414BD">
        <w:rPr>
          <w:color w:val="000000"/>
        </w:rPr>
        <w:t>por meio do Acórdão 2.573/2018 - Plenário, de relatoria do ministro Bruno Dantas, o TCU deliberou que a</w:t>
      </w:r>
      <w:r w:rsidR="007A71CA" w:rsidRPr="005414BD">
        <w:rPr>
          <w:shd w:val="clear" w:color="auto" w:fill="FFFFFF"/>
        </w:rPr>
        <w:t xml:space="preserve"> </w:t>
      </w:r>
      <w:r w:rsidRPr="005414BD">
        <w:rPr>
          <w:shd w:val="clear" w:color="auto" w:fill="FFFFFF"/>
        </w:rPr>
        <w:t>OAB se submete à jurisdição</w:t>
      </w:r>
      <w:r w:rsidR="00CF4C12" w:rsidRPr="005414BD">
        <w:rPr>
          <w:shd w:val="clear" w:color="auto" w:fill="FFFFFF"/>
        </w:rPr>
        <w:t xml:space="preserve"> d</w:t>
      </w:r>
      <w:r w:rsidR="00260F40" w:rsidRPr="005414BD">
        <w:rPr>
          <w:shd w:val="clear" w:color="auto" w:fill="FFFFFF"/>
        </w:rPr>
        <w:t>est</w:t>
      </w:r>
      <w:r w:rsidR="00CF4C12" w:rsidRPr="005414BD">
        <w:rPr>
          <w:shd w:val="clear" w:color="auto" w:fill="FFFFFF"/>
        </w:rPr>
        <w:t>a Corte</w:t>
      </w:r>
      <w:r w:rsidR="006C5E3F" w:rsidRPr="005414BD">
        <w:rPr>
          <w:shd w:val="clear" w:color="auto" w:fill="FFFFFF"/>
        </w:rPr>
        <w:t xml:space="preserve">, </w:t>
      </w:r>
      <w:r w:rsidR="004D2C15" w:rsidRPr="005414BD">
        <w:rPr>
          <w:shd w:val="clear" w:color="auto" w:fill="FFFFFF"/>
        </w:rPr>
        <w:t xml:space="preserve">pois </w:t>
      </w:r>
      <w:r w:rsidRPr="005414BD">
        <w:rPr>
          <w:shd w:val="clear" w:color="auto" w:fill="FFFFFF"/>
        </w:rPr>
        <w:t xml:space="preserve">a sua natureza de autarquia e o regime público e compulsório dos tributos que arrecada impõem, como </w:t>
      </w:r>
      <w:r w:rsidR="004157A7" w:rsidRPr="005414BD">
        <w:rPr>
          <w:shd w:val="clear" w:color="auto" w:fill="FFFFFF"/>
        </w:rPr>
        <w:t xml:space="preserve">no caso de </w:t>
      </w:r>
      <w:r w:rsidRPr="005414BD">
        <w:rPr>
          <w:shd w:val="clear" w:color="auto" w:fill="FFFFFF"/>
        </w:rPr>
        <w:t xml:space="preserve">qualquer conselho profissional, sujeição </w:t>
      </w:r>
      <w:r w:rsidR="004157A7" w:rsidRPr="005414BD">
        <w:rPr>
          <w:shd w:val="clear" w:color="auto" w:fill="FFFFFF"/>
        </w:rPr>
        <w:t>a controle público</w:t>
      </w:r>
      <w:r w:rsidR="00173402" w:rsidRPr="005414BD">
        <w:rPr>
          <w:shd w:val="clear" w:color="auto" w:fill="FFFFFF"/>
        </w:rPr>
        <w:t>;</w:t>
      </w:r>
    </w:p>
    <w:p w:rsidR="00AA4D0F" w:rsidRPr="005414BD" w:rsidRDefault="00173402" w:rsidP="00750A36">
      <w:pPr>
        <w:tabs>
          <w:tab w:val="left" w:pos="1134"/>
        </w:tabs>
        <w:spacing w:before="60" w:after="60"/>
        <w:ind w:firstLine="1134"/>
        <w:jc w:val="both"/>
      </w:pPr>
      <w:r w:rsidRPr="005414BD">
        <w:rPr>
          <w:shd w:val="clear" w:color="auto" w:fill="FFFFFF"/>
        </w:rPr>
        <w:t>b)</w:t>
      </w:r>
      <w:r w:rsidR="00AA4D0F" w:rsidRPr="005414BD">
        <w:rPr>
          <w:shd w:val="clear" w:color="auto" w:fill="FFFFFF"/>
        </w:rPr>
        <w:tab/>
      </w:r>
      <w:r w:rsidRPr="005414BD">
        <w:rPr>
          <w:shd w:val="clear" w:color="auto" w:fill="FFFFFF"/>
        </w:rPr>
        <w:t>e</w:t>
      </w:r>
      <w:r w:rsidR="00AA4D0F" w:rsidRPr="005414BD">
        <w:rPr>
          <w:shd w:val="clear" w:color="auto" w:fill="FFFFFF"/>
        </w:rPr>
        <w:t xml:space="preserve">ssa deliberação está sendo discutida </w:t>
      </w:r>
      <w:r w:rsidR="00DF5A77" w:rsidRPr="005414BD">
        <w:rPr>
          <w:shd w:val="clear" w:color="auto" w:fill="FFFFFF"/>
        </w:rPr>
        <w:t>em</w:t>
      </w:r>
      <w:r w:rsidR="00AA4D0F" w:rsidRPr="005414BD">
        <w:rPr>
          <w:shd w:val="clear" w:color="auto" w:fill="FFFFFF"/>
        </w:rPr>
        <w:t xml:space="preserve"> recurso interposto no TC </w:t>
      </w:r>
      <w:r w:rsidR="00AA4D0F" w:rsidRPr="005414BD">
        <w:t>015.720/2018-7</w:t>
      </w:r>
      <w:r w:rsidR="00AA4D0F" w:rsidRPr="005414BD">
        <w:rPr>
          <w:shd w:val="clear" w:color="auto" w:fill="FFFFFF"/>
        </w:rPr>
        <w:t>, ainda não apreciado</w:t>
      </w:r>
      <w:r w:rsidRPr="005414BD">
        <w:rPr>
          <w:shd w:val="clear" w:color="auto" w:fill="FFFFFF"/>
        </w:rPr>
        <w:t xml:space="preserve">, </w:t>
      </w:r>
      <w:r w:rsidR="00DF5A77" w:rsidRPr="005414BD">
        <w:rPr>
          <w:shd w:val="clear" w:color="auto" w:fill="FFFFFF"/>
        </w:rPr>
        <w:t>bem como</w:t>
      </w:r>
      <w:r w:rsidRPr="005414BD">
        <w:rPr>
          <w:shd w:val="clear" w:color="auto" w:fill="FFFFFF"/>
        </w:rPr>
        <w:t xml:space="preserve"> </w:t>
      </w:r>
      <w:r w:rsidR="00DF5A77" w:rsidRPr="005414BD">
        <w:rPr>
          <w:shd w:val="clear" w:color="auto" w:fill="FFFFFF"/>
        </w:rPr>
        <w:t xml:space="preserve">no </w:t>
      </w:r>
      <w:r w:rsidR="00DF5A77" w:rsidRPr="005414BD">
        <w:t xml:space="preserve">Mandado de Segurança 36376/DF, </w:t>
      </w:r>
      <w:r w:rsidR="00CF4C12" w:rsidRPr="005414BD">
        <w:rPr>
          <w:shd w:val="clear" w:color="auto" w:fill="FFFFFF"/>
        </w:rPr>
        <w:t xml:space="preserve">impetrado </w:t>
      </w:r>
      <w:r w:rsidRPr="005414BD">
        <w:rPr>
          <w:shd w:val="clear" w:color="auto" w:fill="FFFFFF"/>
        </w:rPr>
        <w:t xml:space="preserve">no </w:t>
      </w:r>
      <w:r w:rsidR="00AA4D0F" w:rsidRPr="005414BD">
        <w:rPr>
          <w:shd w:val="clear" w:color="auto" w:fill="FFFFFF"/>
        </w:rPr>
        <w:t>Supremo Tribunal Federal</w:t>
      </w:r>
      <w:r w:rsidR="00DF5A77" w:rsidRPr="005414BD">
        <w:rPr>
          <w:shd w:val="clear" w:color="auto" w:fill="FFFFFF"/>
        </w:rPr>
        <w:t xml:space="preserve">, </w:t>
      </w:r>
      <w:r w:rsidR="00DF5A77" w:rsidRPr="005414BD">
        <w:t xml:space="preserve">no qual a relatora, ministra Rosa Weber, deferiu a liminar pleiteada para </w:t>
      </w:r>
      <w:r w:rsidR="00DF5A77" w:rsidRPr="005414BD">
        <w:lastRenderedPageBreak/>
        <w:t xml:space="preserve">suspender a eficácia do </w:t>
      </w:r>
      <w:r w:rsidR="00DF5A77" w:rsidRPr="005414BD">
        <w:rPr>
          <w:b/>
          <w:bCs/>
        </w:rPr>
        <w:t>decisum</w:t>
      </w:r>
      <w:r w:rsidR="00DF5A77" w:rsidRPr="005414BD">
        <w:t xml:space="preserve">, de modo a desobrigar a OAB de prestar contas e de se submeter à fiscalização do TCU até julgamento final do </w:t>
      </w:r>
      <w:r w:rsidR="00DF5A77" w:rsidRPr="005414BD">
        <w:rPr>
          <w:b/>
          <w:bCs/>
        </w:rPr>
        <w:t>writ</w:t>
      </w:r>
      <w:r w:rsidR="00DF5A77" w:rsidRPr="005414BD">
        <w:t xml:space="preserve"> ou deliberação posterior em sentido contrário</w:t>
      </w:r>
      <w:r w:rsidR="00DF5A77" w:rsidRPr="005414BD">
        <w:rPr>
          <w:rStyle w:val="Refdenotaderodap"/>
          <w:sz w:val="22"/>
          <w:szCs w:val="22"/>
        </w:rPr>
        <w:footnoteReference w:id="1"/>
      </w:r>
      <w:r w:rsidR="00750A36" w:rsidRPr="005414BD">
        <w:t>;</w:t>
      </w:r>
    </w:p>
    <w:p w:rsidR="00750A36" w:rsidRDefault="00750A36" w:rsidP="00750A36">
      <w:pPr>
        <w:tabs>
          <w:tab w:val="left" w:pos="1134"/>
        </w:tabs>
        <w:spacing w:before="60" w:after="60"/>
        <w:ind w:firstLine="1134"/>
        <w:jc w:val="both"/>
      </w:pPr>
      <w:r w:rsidRPr="005414BD">
        <w:t>c) s</w:t>
      </w:r>
      <w:r w:rsidR="005F374D" w:rsidRPr="005414BD">
        <w:t>e</w:t>
      </w:r>
      <w:r w:rsidR="007A71CA" w:rsidRPr="005414BD">
        <w:rPr>
          <w:color w:val="000000"/>
        </w:rPr>
        <w:t xml:space="preserve"> prevalecer </w:t>
      </w:r>
      <w:r w:rsidR="008001C2" w:rsidRPr="005414BD">
        <w:rPr>
          <w:color w:val="000000"/>
        </w:rPr>
        <w:t xml:space="preserve">o entendimento do Acórdão 2.573/2018 - Plenário </w:t>
      </w:r>
      <w:r w:rsidR="005F374D" w:rsidRPr="005414BD">
        <w:rPr>
          <w:color w:val="000000"/>
        </w:rPr>
        <w:t xml:space="preserve">após o julgamento final do recurso e das ações em curso no </w:t>
      </w:r>
      <w:r w:rsidR="007C6887" w:rsidRPr="005414BD">
        <w:rPr>
          <w:color w:val="000000"/>
        </w:rPr>
        <w:t>Supremo</w:t>
      </w:r>
      <w:r w:rsidR="007A71CA" w:rsidRPr="005414BD">
        <w:rPr>
          <w:color w:val="000000"/>
        </w:rPr>
        <w:t xml:space="preserve">, </w:t>
      </w:r>
      <w:r w:rsidR="005F374D" w:rsidRPr="005414BD">
        <w:rPr>
          <w:color w:val="000000"/>
        </w:rPr>
        <w:t xml:space="preserve">a filiação do servidor à referida comissão </w:t>
      </w:r>
      <w:r w:rsidR="00142842" w:rsidRPr="005414BD">
        <w:rPr>
          <w:color w:val="000000"/>
        </w:rPr>
        <w:t xml:space="preserve">configuraria </w:t>
      </w:r>
      <w:r w:rsidR="005C2BE1" w:rsidRPr="005414BD">
        <w:rPr>
          <w:color w:val="000000"/>
        </w:rPr>
        <w:t>conflito de interesses</w:t>
      </w:r>
      <w:r w:rsidR="003556CD" w:rsidRPr="005414BD">
        <w:rPr>
          <w:color w:val="000000"/>
        </w:rPr>
        <w:t>,</w:t>
      </w:r>
      <w:r w:rsidR="00275FDD" w:rsidRPr="005414BD">
        <w:rPr>
          <w:color w:val="000000"/>
        </w:rPr>
        <w:t xml:space="preserve"> porquanto</w:t>
      </w:r>
      <w:r w:rsidR="00A46366" w:rsidRPr="005414BD">
        <w:rPr>
          <w:color w:val="000000"/>
        </w:rPr>
        <w:t xml:space="preserve"> é preciso </w:t>
      </w:r>
      <w:r w:rsidR="00A46366" w:rsidRPr="005414BD">
        <w:t xml:space="preserve">garantir que o pessoal de auditoria não desenvolva relacionamentos </w:t>
      </w:r>
      <w:r w:rsidR="005F374D" w:rsidRPr="005414BD">
        <w:t>c</w:t>
      </w:r>
      <w:r w:rsidR="00A46366" w:rsidRPr="005414BD">
        <w:t>om entidades auditadas</w:t>
      </w:r>
      <w:r w:rsidR="005F374D" w:rsidRPr="005414BD">
        <w:t xml:space="preserve"> </w:t>
      </w:r>
      <w:r w:rsidR="007B72E8" w:rsidRPr="005414BD">
        <w:t>relativamente às</w:t>
      </w:r>
      <w:r w:rsidR="005F374D" w:rsidRPr="005414BD">
        <w:t xml:space="preserve"> suas atividades finalísticas</w:t>
      </w:r>
      <w:r w:rsidRPr="005414BD">
        <w:t>;</w:t>
      </w:r>
    </w:p>
    <w:p w:rsidR="00793C63" w:rsidRPr="005414BD" w:rsidRDefault="00750A36" w:rsidP="00750A36">
      <w:pPr>
        <w:tabs>
          <w:tab w:val="left" w:pos="1134"/>
        </w:tabs>
        <w:spacing w:before="60" w:after="60"/>
        <w:ind w:firstLine="1134"/>
        <w:jc w:val="both"/>
      </w:pPr>
      <w:r w:rsidRPr="005414BD">
        <w:t xml:space="preserve">d) </w:t>
      </w:r>
      <w:r w:rsidR="00793C63" w:rsidRPr="005414BD">
        <w:t xml:space="preserve">mesmo na hipótese de a jurisdição do TCU sobre a OAB ser afastada, </w:t>
      </w:r>
      <w:r w:rsidRPr="005414BD">
        <w:t xml:space="preserve">haveria </w:t>
      </w:r>
      <w:r w:rsidR="00293F32" w:rsidRPr="005414BD">
        <w:t xml:space="preserve">riscos </w:t>
      </w:r>
      <w:r w:rsidR="00C9660E" w:rsidRPr="005414BD">
        <w:t>de</w:t>
      </w:r>
      <w:r w:rsidR="00293F32" w:rsidRPr="005414BD">
        <w:t xml:space="preserve"> </w:t>
      </w:r>
      <w:r w:rsidR="00C9660E" w:rsidRPr="005414BD">
        <w:t>des</w:t>
      </w:r>
      <w:r w:rsidR="00293F32" w:rsidRPr="005414BD">
        <w:t xml:space="preserve">cumprimento dos </w:t>
      </w:r>
      <w:r w:rsidR="00793C63" w:rsidRPr="005414BD">
        <w:t xml:space="preserve">valores expressos </w:t>
      </w:r>
      <w:r w:rsidR="000D1CC5" w:rsidRPr="005414BD">
        <w:t xml:space="preserve">em </w:t>
      </w:r>
      <w:r w:rsidR="00293F32" w:rsidRPr="005414BD">
        <w:t xml:space="preserve">nosso </w:t>
      </w:r>
      <w:r w:rsidR="00793C63" w:rsidRPr="005414BD">
        <w:t>Código de Ética</w:t>
      </w:r>
      <w:r w:rsidRPr="005414BD">
        <w:t>, uma vez que, s</w:t>
      </w:r>
      <w:r w:rsidR="00793C63" w:rsidRPr="005414BD">
        <w:t>egundo o Regimento Interno da OAB/DF</w:t>
      </w:r>
      <w:r w:rsidR="009B57A8" w:rsidRPr="005414BD">
        <w:rPr>
          <w:rStyle w:val="Refdenotaderodap"/>
        </w:rPr>
        <w:footnoteReference w:id="2"/>
      </w:r>
      <w:r w:rsidR="00793C63" w:rsidRPr="005414BD">
        <w:t>, as comissões permanentes e temporárias ou especiais, integradas por conselheiros, advogados e não advogados (</w:t>
      </w:r>
      <w:r w:rsidR="009B57A8" w:rsidRPr="005414BD">
        <w:t>m</w:t>
      </w:r>
      <w:r w:rsidR="00793C63" w:rsidRPr="005414BD">
        <w:t xml:space="preserve">embros </w:t>
      </w:r>
      <w:r w:rsidR="009B57A8" w:rsidRPr="005414BD">
        <w:t>c</w:t>
      </w:r>
      <w:r w:rsidR="00793C63" w:rsidRPr="005414BD">
        <w:t>onsultores) eleitos pelo Conselho Pleno Seccional</w:t>
      </w:r>
      <w:r w:rsidR="009B57A8" w:rsidRPr="005414BD">
        <w:t xml:space="preserve">, auxiliam e assessoram o </w:t>
      </w:r>
      <w:r w:rsidR="00793C63" w:rsidRPr="005414BD">
        <w:t>Conselho e sua Diretoria</w:t>
      </w:r>
      <w:r w:rsidR="009B57A8" w:rsidRPr="005414BD">
        <w:t xml:space="preserve"> (art. 45)</w:t>
      </w:r>
      <w:r w:rsidRPr="005414BD">
        <w:t>;</w:t>
      </w:r>
    </w:p>
    <w:p w:rsidR="00750A36" w:rsidRPr="005414BD" w:rsidRDefault="00750A36" w:rsidP="00750A36">
      <w:pPr>
        <w:tabs>
          <w:tab w:val="left" w:pos="1134"/>
        </w:tabs>
        <w:spacing w:before="60" w:after="60"/>
        <w:ind w:firstLine="1134"/>
        <w:jc w:val="both"/>
        <w:rPr>
          <w:color w:val="000000"/>
        </w:rPr>
      </w:pPr>
      <w:r w:rsidRPr="005414BD">
        <w:t>e) a</w:t>
      </w:r>
      <w:r w:rsidR="009B57A8" w:rsidRPr="005414BD">
        <w:rPr>
          <w:color w:val="201F1E"/>
          <w:shd w:val="clear" w:color="auto" w:fill="FFFFFF"/>
        </w:rPr>
        <w:t xml:space="preserve"> </w:t>
      </w:r>
      <w:r w:rsidRPr="005414BD">
        <w:rPr>
          <w:color w:val="201F1E"/>
          <w:shd w:val="clear" w:color="auto" w:fill="FFFFFF"/>
        </w:rPr>
        <w:t xml:space="preserve">atuação da </w:t>
      </w:r>
      <w:r w:rsidR="009B57A8" w:rsidRPr="005414BD">
        <w:rPr>
          <w:color w:val="201F1E"/>
          <w:shd w:val="clear" w:color="auto" w:fill="FFFFFF"/>
        </w:rPr>
        <w:t>Comissão de Advocacia nos Órgãos de Controle</w:t>
      </w:r>
      <w:r w:rsidRPr="005414BD">
        <w:rPr>
          <w:color w:val="201F1E"/>
          <w:shd w:val="clear" w:color="auto" w:fill="FFFFFF"/>
        </w:rPr>
        <w:t xml:space="preserve"> tem como foco</w:t>
      </w:r>
      <w:r w:rsidR="00797941" w:rsidRPr="005414BD">
        <w:rPr>
          <w:color w:val="000000"/>
        </w:rPr>
        <w:t xml:space="preserve"> garantir as </w:t>
      </w:r>
      <w:r w:rsidR="00797941" w:rsidRPr="005414BD">
        <w:rPr>
          <w:b/>
          <w:bCs/>
          <w:color w:val="000000"/>
        </w:rPr>
        <w:t xml:space="preserve">prerrogativas dos advogados perante os </w:t>
      </w:r>
      <w:r w:rsidR="005A3817" w:rsidRPr="005414BD">
        <w:rPr>
          <w:b/>
          <w:bCs/>
          <w:color w:val="000000"/>
        </w:rPr>
        <w:t>t</w:t>
      </w:r>
      <w:r w:rsidR="00797941" w:rsidRPr="005414BD">
        <w:rPr>
          <w:b/>
          <w:bCs/>
          <w:color w:val="000000"/>
        </w:rPr>
        <w:t xml:space="preserve">ribunais de </w:t>
      </w:r>
      <w:r w:rsidR="005A3817" w:rsidRPr="005414BD">
        <w:rPr>
          <w:b/>
          <w:bCs/>
          <w:color w:val="000000"/>
        </w:rPr>
        <w:t>c</w:t>
      </w:r>
      <w:r w:rsidR="00797941" w:rsidRPr="005414BD">
        <w:rPr>
          <w:b/>
          <w:bCs/>
          <w:color w:val="000000"/>
        </w:rPr>
        <w:t>ontas</w:t>
      </w:r>
      <w:r w:rsidRPr="005414BD">
        <w:rPr>
          <w:color w:val="000000"/>
        </w:rPr>
        <w:t>, e</w:t>
      </w:r>
      <w:r w:rsidR="00B8409B" w:rsidRPr="005414BD">
        <w:rPr>
          <w:color w:val="000000"/>
        </w:rPr>
        <w:t xml:space="preserve">, </w:t>
      </w:r>
      <w:r w:rsidRPr="005414BD">
        <w:rPr>
          <w:color w:val="000000"/>
        </w:rPr>
        <w:t>apesar de</w:t>
      </w:r>
      <w:r w:rsidR="00B8409B" w:rsidRPr="005414BD">
        <w:rPr>
          <w:color w:val="000000"/>
        </w:rPr>
        <w:t xml:space="preserve"> o TCU vela</w:t>
      </w:r>
      <w:r w:rsidRPr="005414BD">
        <w:rPr>
          <w:color w:val="000000"/>
        </w:rPr>
        <w:t>r</w:t>
      </w:r>
      <w:r w:rsidR="00B8409B" w:rsidRPr="005414BD">
        <w:rPr>
          <w:color w:val="000000"/>
        </w:rPr>
        <w:t xml:space="preserve"> </w:t>
      </w:r>
      <w:r w:rsidR="005A3817" w:rsidRPr="005414BD">
        <w:rPr>
          <w:color w:val="000000"/>
        </w:rPr>
        <w:t>pelo pleno respei</w:t>
      </w:r>
      <w:r w:rsidR="00D62E11" w:rsidRPr="005414BD">
        <w:rPr>
          <w:color w:val="000000"/>
        </w:rPr>
        <w:t xml:space="preserve">to a elas </w:t>
      </w:r>
      <w:r w:rsidR="005A3817" w:rsidRPr="005414BD">
        <w:rPr>
          <w:color w:val="000000"/>
        </w:rPr>
        <w:t>nos processos de controle externo</w:t>
      </w:r>
      <w:r w:rsidRPr="005414BD">
        <w:rPr>
          <w:color w:val="000000"/>
        </w:rPr>
        <w:t>, os profissionais</w:t>
      </w:r>
      <w:r w:rsidR="009B57A8" w:rsidRPr="005414BD">
        <w:rPr>
          <w:color w:val="000000"/>
        </w:rPr>
        <w:t xml:space="preserve">, </w:t>
      </w:r>
      <w:r w:rsidR="00B8409B" w:rsidRPr="005414BD">
        <w:rPr>
          <w:color w:val="000000"/>
        </w:rPr>
        <w:t>em</w:t>
      </w:r>
      <w:r w:rsidR="009B57A8" w:rsidRPr="005414BD">
        <w:rPr>
          <w:color w:val="000000"/>
        </w:rPr>
        <w:t xml:space="preserve"> regra,</w:t>
      </w:r>
      <w:r w:rsidR="006A2210" w:rsidRPr="005414BD">
        <w:rPr>
          <w:color w:val="000000"/>
        </w:rPr>
        <w:t xml:space="preserve"> atuam em defesa </w:t>
      </w:r>
      <w:r w:rsidR="000246D8" w:rsidRPr="005414BD">
        <w:rPr>
          <w:color w:val="000000"/>
        </w:rPr>
        <w:t xml:space="preserve">das </w:t>
      </w:r>
      <w:r w:rsidR="006A2210" w:rsidRPr="005414BD">
        <w:rPr>
          <w:color w:val="000000"/>
        </w:rPr>
        <w:t>partes arroladas</w:t>
      </w:r>
      <w:r w:rsidR="00B8409B" w:rsidRPr="005414BD">
        <w:rPr>
          <w:color w:val="000000"/>
        </w:rPr>
        <w:t xml:space="preserve"> e, </w:t>
      </w:r>
      <w:r w:rsidR="00571847" w:rsidRPr="005414BD">
        <w:rPr>
          <w:color w:val="000000"/>
        </w:rPr>
        <w:t>como tal</w:t>
      </w:r>
      <w:r w:rsidR="00B8409B" w:rsidRPr="005414BD">
        <w:rPr>
          <w:color w:val="000000"/>
        </w:rPr>
        <w:t>, têm interesse nas deliberações desta Corte</w:t>
      </w:r>
      <w:r w:rsidRPr="005414BD">
        <w:rPr>
          <w:color w:val="000000"/>
        </w:rPr>
        <w:t>;</w:t>
      </w:r>
    </w:p>
    <w:p w:rsidR="00142842" w:rsidRPr="005414BD" w:rsidRDefault="00750A36" w:rsidP="00750A36">
      <w:pPr>
        <w:tabs>
          <w:tab w:val="left" w:pos="1134"/>
        </w:tabs>
        <w:spacing w:before="60" w:after="60"/>
        <w:ind w:firstLine="1134"/>
        <w:jc w:val="both"/>
        <w:rPr>
          <w:color w:val="000000"/>
        </w:rPr>
      </w:pPr>
      <w:r w:rsidRPr="005414BD">
        <w:rPr>
          <w:color w:val="000000"/>
        </w:rPr>
        <w:t>f) o E</w:t>
      </w:r>
      <w:r w:rsidR="00743C75" w:rsidRPr="005414BD">
        <w:rPr>
          <w:color w:val="000000"/>
        </w:rPr>
        <w:t xml:space="preserve">statuto da Advocacia, aprovado pela Lei </w:t>
      </w:r>
      <w:r w:rsidR="000329B8" w:rsidRPr="005414BD">
        <w:rPr>
          <w:color w:val="000000"/>
        </w:rPr>
        <w:t>8.906/1994</w:t>
      </w:r>
      <w:r w:rsidR="00743C75" w:rsidRPr="005414BD">
        <w:rPr>
          <w:color w:val="000000"/>
        </w:rPr>
        <w:t>, determina</w:t>
      </w:r>
      <w:r w:rsidR="005A3817" w:rsidRPr="005414BD">
        <w:rPr>
          <w:color w:val="000000"/>
        </w:rPr>
        <w:t xml:space="preserve"> serem </w:t>
      </w:r>
      <w:r w:rsidR="00275FDD" w:rsidRPr="005414BD">
        <w:rPr>
          <w:color w:val="000000"/>
        </w:rPr>
        <w:t>i</w:t>
      </w:r>
      <w:r w:rsidR="00743C75" w:rsidRPr="005414BD">
        <w:rPr>
          <w:color w:val="000000"/>
        </w:rPr>
        <w:t xml:space="preserve">ncompatíveis com a advocacia, mesmo em causa própria, </w:t>
      </w:r>
      <w:r w:rsidR="00A8297C" w:rsidRPr="005414BD">
        <w:rPr>
          <w:color w:val="000000"/>
        </w:rPr>
        <w:t xml:space="preserve">certas </w:t>
      </w:r>
      <w:r w:rsidR="00743C75" w:rsidRPr="005414BD">
        <w:rPr>
          <w:color w:val="000000"/>
        </w:rPr>
        <w:t xml:space="preserve">atividades exercidas </w:t>
      </w:r>
      <w:r w:rsidR="00A8297C" w:rsidRPr="005414BD">
        <w:rPr>
          <w:color w:val="000000"/>
        </w:rPr>
        <w:t xml:space="preserve">por </w:t>
      </w:r>
      <w:r w:rsidR="00B25B54" w:rsidRPr="005414BD">
        <w:rPr>
          <w:color w:val="000000"/>
        </w:rPr>
        <w:t>agentes políticos</w:t>
      </w:r>
      <w:r w:rsidR="004C3242" w:rsidRPr="005414BD">
        <w:rPr>
          <w:color w:val="000000"/>
        </w:rPr>
        <w:t xml:space="preserve">, </w:t>
      </w:r>
      <w:r w:rsidR="00A8297C" w:rsidRPr="005414BD">
        <w:rPr>
          <w:color w:val="000000"/>
        </w:rPr>
        <w:t>servidores</w:t>
      </w:r>
      <w:r w:rsidR="004C3242" w:rsidRPr="005414BD">
        <w:rPr>
          <w:color w:val="000000"/>
        </w:rPr>
        <w:t xml:space="preserve"> e empregados</w:t>
      </w:r>
      <w:r w:rsidR="00A8297C" w:rsidRPr="005414BD">
        <w:rPr>
          <w:color w:val="000000"/>
        </w:rPr>
        <w:t xml:space="preserve"> públicos</w:t>
      </w:r>
      <w:r w:rsidR="00743C75" w:rsidRPr="005414BD">
        <w:rPr>
          <w:b/>
          <w:bCs/>
          <w:color w:val="000000"/>
        </w:rPr>
        <w:t xml:space="preserve"> </w:t>
      </w:r>
      <w:r w:rsidR="00743C75" w:rsidRPr="005414BD">
        <w:rPr>
          <w:color w:val="000000"/>
        </w:rPr>
        <w:t>(art. 28)</w:t>
      </w:r>
      <w:r w:rsidRPr="005414BD">
        <w:rPr>
          <w:color w:val="000000"/>
        </w:rPr>
        <w:t xml:space="preserve">, </w:t>
      </w:r>
      <w:r w:rsidR="0031265A" w:rsidRPr="005414BD">
        <w:rPr>
          <w:color w:val="000000"/>
        </w:rPr>
        <w:t xml:space="preserve">e </w:t>
      </w:r>
      <w:r w:rsidRPr="005414BD">
        <w:rPr>
          <w:color w:val="000000"/>
        </w:rPr>
        <w:t>a</w:t>
      </w:r>
      <w:r w:rsidR="00293F32" w:rsidRPr="005414BD">
        <w:rPr>
          <w:color w:val="000000"/>
        </w:rPr>
        <w:t xml:space="preserve">s </w:t>
      </w:r>
      <w:r w:rsidR="00743C75" w:rsidRPr="005414BD">
        <w:rPr>
          <w:color w:val="000000"/>
        </w:rPr>
        <w:t>incompatibilidade</w:t>
      </w:r>
      <w:r w:rsidR="00A8297C" w:rsidRPr="005414BD">
        <w:rPr>
          <w:color w:val="000000"/>
        </w:rPr>
        <w:t>s</w:t>
      </w:r>
      <w:r w:rsidR="00743C75" w:rsidRPr="005414BD">
        <w:rPr>
          <w:color w:val="000000"/>
        </w:rPr>
        <w:t xml:space="preserve"> </w:t>
      </w:r>
      <w:r w:rsidR="00A8297C" w:rsidRPr="005414BD">
        <w:rPr>
          <w:color w:val="000000"/>
        </w:rPr>
        <w:t xml:space="preserve">estabelecidas na lei </w:t>
      </w:r>
      <w:r w:rsidR="007C3EB2" w:rsidRPr="005414BD">
        <w:rPr>
          <w:color w:val="000000"/>
        </w:rPr>
        <w:t>apresentam duas vertentes:</w:t>
      </w:r>
    </w:p>
    <w:p w:rsidR="00142842" w:rsidRPr="005414BD" w:rsidRDefault="00142842" w:rsidP="00750A36">
      <w:pPr>
        <w:tabs>
          <w:tab w:val="left" w:pos="1134"/>
        </w:tabs>
        <w:spacing w:before="60" w:after="60"/>
        <w:ind w:firstLine="1134"/>
        <w:jc w:val="both"/>
        <w:rPr>
          <w:color w:val="000000"/>
        </w:rPr>
      </w:pPr>
      <w:r w:rsidRPr="005414BD">
        <w:rPr>
          <w:color w:val="000000"/>
        </w:rPr>
        <w:t xml:space="preserve">- </w:t>
      </w:r>
      <w:r w:rsidR="007C3EB2" w:rsidRPr="005414BD">
        <w:rPr>
          <w:color w:val="000000"/>
        </w:rPr>
        <w:t xml:space="preserve">de um lado, </w:t>
      </w:r>
      <w:r w:rsidR="00A8297C" w:rsidRPr="005414BD">
        <w:rPr>
          <w:color w:val="000000"/>
        </w:rPr>
        <w:t xml:space="preserve">assegurar que o advogado possa atuar com independência e </w:t>
      </w:r>
      <w:r w:rsidR="007C3EB2" w:rsidRPr="005414BD">
        <w:rPr>
          <w:color w:val="000000"/>
        </w:rPr>
        <w:t>liberdade de determinação no serviço da justiça; e</w:t>
      </w:r>
    </w:p>
    <w:p w:rsidR="007C3EB2" w:rsidRPr="005414BD" w:rsidRDefault="00142842" w:rsidP="00750A36">
      <w:pPr>
        <w:tabs>
          <w:tab w:val="left" w:pos="1134"/>
        </w:tabs>
        <w:spacing w:before="60" w:after="60"/>
        <w:ind w:firstLine="1134"/>
        <w:jc w:val="both"/>
        <w:rPr>
          <w:color w:val="000000"/>
        </w:rPr>
      </w:pPr>
      <w:r w:rsidRPr="005414BD">
        <w:rPr>
          <w:color w:val="000000"/>
        </w:rPr>
        <w:t xml:space="preserve">- </w:t>
      </w:r>
      <w:r w:rsidR="007C3EB2" w:rsidRPr="005414BD">
        <w:rPr>
          <w:color w:val="000000"/>
        </w:rPr>
        <w:t xml:space="preserve">de outro, </w:t>
      </w:r>
      <w:r w:rsidR="00B25B54" w:rsidRPr="005414BD">
        <w:rPr>
          <w:color w:val="000000"/>
        </w:rPr>
        <w:t>preserva</w:t>
      </w:r>
      <w:r w:rsidR="007C3EB2" w:rsidRPr="005414BD">
        <w:rPr>
          <w:color w:val="000000"/>
        </w:rPr>
        <w:t xml:space="preserve">r </w:t>
      </w:r>
      <w:r w:rsidR="00B25B54" w:rsidRPr="005414BD">
        <w:rPr>
          <w:color w:val="000000"/>
        </w:rPr>
        <w:t xml:space="preserve">a moralidade </w:t>
      </w:r>
      <w:r w:rsidR="007C3EB2" w:rsidRPr="005414BD">
        <w:rPr>
          <w:color w:val="000000"/>
        </w:rPr>
        <w:t>e os</w:t>
      </w:r>
      <w:r w:rsidR="00E225CE" w:rsidRPr="005414BD">
        <w:rPr>
          <w:color w:val="000000"/>
        </w:rPr>
        <w:t xml:space="preserve"> demais</w:t>
      </w:r>
      <w:r w:rsidR="007C3EB2" w:rsidRPr="005414BD">
        <w:rPr>
          <w:color w:val="000000"/>
        </w:rPr>
        <w:t xml:space="preserve"> valores éticos </w:t>
      </w:r>
      <w:r w:rsidR="00B83CFD" w:rsidRPr="005414BD">
        <w:rPr>
          <w:color w:val="000000"/>
        </w:rPr>
        <w:t xml:space="preserve">aplicáveis à </w:t>
      </w:r>
      <w:r w:rsidR="0007629E" w:rsidRPr="005414BD">
        <w:rPr>
          <w:color w:val="000000"/>
        </w:rPr>
        <w:t>A</w:t>
      </w:r>
      <w:r w:rsidR="00B83CFD" w:rsidRPr="005414BD">
        <w:rPr>
          <w:color w:val="000000"/>
        </w:rPr>
        <w:t xml:space="preserve">dministração </w:t>
      </w:r>
      <w:r w:rsidR="0007629E" w:rsidRPr="005414BD">
        <w:rPr>
          <w:color w:val="000000"/>
        </w:rPr>
        <w:t>P</w:t>
      </w:r>
      <w:r w:rsidR="00B83CFD" w:rsidRPr="005414BD">
        <w:rPr>
          <w:color w:val="000000"/>
        </w:rPr>
        <w:t xml:space="preserve">ública </w:t>
      </w:r>
      <w:r w:rsidR="00B25B54" w:rsidRPr="005414BD">
        <w:rPr>
          <w:color w:val="000000"/>
        </w:rPr>
        <w:t xml:space="preserve">(art. 37, </w:t>
      </w:r>
      <w:r w:rsidR="00B25B54" w:rsidRPr="005414BD">
        <w:rPr>
          <w:b/>
          <w:bCs/>
          <w:color w:val="000000"/>
        </w:rPr>
        <w:t>caput</w:t>
      </w:r>
      <w:r w:rsidR="00B25B54" w:rsidRPr="005414BD">
        <w:rPr>
          <w:color w:val="000000"/>
        </w:rPr>
        <w:t>, da Constituição de 1988)</w:t>
      </w:r>
      <w:r w:rsidR="007C3EB2" w:rsidRPr="005414BD">
        <w:rPr>
          <w:color w:val="000000"/>
        </w:rPr>
        <w:t>, evitando, por exemplo, facilitações decorrentes do exercício público, como angariação de clientela e influência em decisões</w:t>
      </w:r>
      <w:r w:rsidR="00293F32" w:rsidRPr="005414BD">
        <w:rPr>
          <w:color w:val="000000"/>
        </w:rPr>
        <w:t xml:space="preserve"> </w:t>
      </w:r>
      <w:r w:rsidR="005A3817" w:rsidRPr="005414BD">
        <w:rPr>
          <w:color w:val="000000"/>
        </w:rPr>
        <w:t xml:space="preserve">de </w:t>
      </w:r>
      <w:r w:rsidR="00293F32" w:rsidRPr="005414BD">
        <w:rPr>
          <w:color w:val="000000"/>
        </w:rPr>
        <w:t>entes públicos</w:t>
      </w:r>
      <w:r w:rsidR="00003C18" w:rsidRPr="005414BD">
        <w:rPr>
          <w:color w:val="000000"/>
        </w:rPr>
        <w:t>;</w:t>
      </w:r>
    </w:p>
    <w:p w:rsidR="00B25B54" w:rsidRPr="005414BD" w:rsidRDefault="00003C18" w:rsidP="00003C18">
      <w:pPr>
        <w:tabs>
          <w:tab w:val="left" w:pos="1134"/>
        </w:tabs>
        <w:spacing w:before="60" w:after="60"/>
        <w:ind w:firstLine="1134"/>
        <w:jc w:val="both"/>
        <w:rPr>
          <w:color w:val="000000"/>
        </w:rPr>
      </w:pPr>
      <w:r w:rsidRPr="005414BD">
        <w:rPr>
          <w:color w:val="000000"/>
        </w:rPr>
        <w:t>g) a</w:t>
      </w:r>
      <w:r w:rsidR="00002610" w:rsidRPr="005414BD">
        <w:rPr>
          <w:color w:val="000000"/>
        </w:rPr>
        <w:t xml:space="preserve">lguns julgados </w:t>
      </w:r>
      <w:r w:rsidR="00275FDD" w:rsidRPr="005414BD">
        <w:rPr>
          <w:color w:val="000000"/>
        </w:rPr>
        <w:t>r</w:t>
      </w:r>
      <w:r w:rsidR="00997960" w:rsidRPr="005414BD">
        <w:rPr>
          <w:color w:val="000000"/>
        </w:rPr>
        <w:t xml:space="preserve">eferidos </w:t>
      </w:r>
      <w:r w:rsidR="00002610" w:rsidRPr="005414BD">
        <w:rPr>
          <w:color w:val="000000"/>
        </w:rPr>
        <w:t>em publicação do STF sobre a Lei 8.906/1994</w:t>
      </w:r>
      <w:r w:rsidR="00002610" w:rsidRPr="005414BD">
        <w:rPr>
          <w:rStyle w:val="Refdenotaderodap"/>
          <w:color w:val="000000"/>
        </w:rPr>
        <w:footnoteReference w:id="3"/>
      </w:r>
      <w:r w:rsidR="00002610" w:rsidRPr="005414BD">
        <w:rPr>
          <w:color w:val="000000"/>
        </w:rPr>
        <w:t xml:space="preserve"> evidenciam a importância que o legislador pretendeu dar </w:t>
      </w:r>
      <w:r w:rsidR="00262999" w:rsidRPr="005414BD">
        <w:rPr>
          <w:color w:val="000000"/>
        </w:rPr>
        <w:t xml:space="preserve">à separação </w:t>
      </w:r>
      <w:r w:rsidR="00997960" w:rsidRPr="005414BD">
        <w:rPr>
          <w:color w:val="000000"/>
        </w:rPr>
        <w:t xml:space="preserve">entre </w:t>
      </w:r>
      <w:r w:rsidR="00002610" w:rsidRPr="005414BD">
        <w:rPr>
          <w:color w:val="000000"/>
        </w:rPr>
        <w:t xml:space="preserve">ambas as funções e </w:t>
      </w:r>
      <w:r w:rsidR="00262999" w:rsidRPr="005414BD">
        <w:rPr>
          <w:color w:val="000000"/>
        </w:rPr>
        <w:t>à observância ao</w:t>
      </w:r>
      <w:r w:rsidR="00002610" w:rsidRPr="005414BD">
        <w:rPr>
          <w:color w:val="000000"/>
        </w:rPr>
        <w:t xml:space="preserve"> princípio da moralidade</w:t>
      </w:r>
      <w:r w:rsidRPr="005414BD">
        <w:rPr>
          <w:color w:val="000000"/>
        </w:rPr>
        <w:t>;</w:t>
      </w:r>
    </w:p>
    <w:p w:rsidR="000329B8" w:rsidRPr="005414BD" w:rsidRDefault="00003C18" w:rsidP="00003C18">
      <w:pPr>
        <w:tabs>
          <w:tab w:val="left" w:pos="1134"/>
        </w:tabs>
        <w:spacing w:before="60" w:after="60"/>
        <w:ind w:firstLine="1134"/>
        <w:jc w:val="both"/>
        <w:rPr>
          <w:color w:val="000000"/>
        </w:rPr>
      </w:pPr>
      <w:r w:rsidRPr="005414BD">
        <w:rPr>
          <w:color w:val="000000"/>
        </w:rPr>
        <w:t>h) e</w:t>
      </w:r>
      <w:r w:rsidR="002478C1" w:rsidRPr="005414BD">
        <w:rPr>
          <w:color w:val="000000"/>
        </w:rPr>
        <w:t xml:space="preserve">specificamente quanto aos servidores dos </w:t>
      </w:r>
      <w:r w:rsidR="00A15908" w:rsidRPr="005414BD">
        <w:rPr>
          <w:color w:val="000000"/>
        </w:rPr>
        <w:t>t</w:t>
      </w:r>
      <w:r w:rsidR="002478C1" w:rsidRPr="005414BD">
        <w:rPr>
          <w:color w:val="000000"/>
        </w:rPr>
        <w:t xml:space="preserve">ribunais de </w:t>
      </w:r>
      <w:r w:rsidR="00A15908" w:rsidRPr="005414BD">
        <w:rPr>
          <w:color w:val="000000"/>
        </w:rPr>
        <w:t>c</w:t>
      </w:r>
      <w:r w:rsidR="00275FDD" w:rsidRPr="005414BD">
        <w:rPr>
          <w:color w:val="000000"/>
        </w:rPr>
        <w:t>o</w:t>
      </w:r>
      <w:r w:rsidR="002478C1" w:rsidRPr="005414BD">
        <w:rPr>
          <w:color w:val="000000"/>
        </w:rPr>
        <w:t xml:space="preserve">ntas, em decisão proferida na apreciação de embargos de declaração opostos na Consulta 49.0000.2013.011065-5-OEP, o </w:t>
      </w:r>
      <w:r w:rsidR="002478C1" w:rsidRPr="005414BD">
        <w:rPr>
          <w:color w:val="000000"/>
        </w:rPr>
        <w:lastRenderedPageBreak/>
        <w:t>Conselho Federal da OAB deliberou</w:t>
      </w:r>
      <w:r w:rsidR="00F126FC" w:rsidRPr="005414BD">
        <w:rPr>
          <w:rStyle w:val="Refdenotaderodap"/>
          <w:color w:val="000000"/>
        </w:rPr>
        <w:footnoteReference w:id="4"/>
      </w:r>
      <w:r w:rsidR="002478C1" w:rsidRPr="005414BD">
        <w:rPr>
          <w:color w:val="000000"/>
        </w:rPr>
        <w:t xml:space="preserve"> que não se enquadram na incompatibilidade prevista n</w:t>
      </w:r>
      <w:r w:rsidR="00571847" w:rsidRPr="005414BD">
        <w:rPr>
          <w:color w:val="000000"/>
        </w:rPr>
        <w:t>o</w:t>
      </w:r>
      <w:r w:rsidR="002478C1" w:rsidRPr="005414BD">
        <w:rPr>
          <w:color w:val="000000"/>
        </w:rPr>
        <w:t xml:space="preserve"> </w:t>
      </w:r>
      <w:r w:rsidR="00F126FC" w:rsidRPr="005414BD">
        <w:rPr>
          <w:color w:val="000000"/>
        </w:rPr>
        <w:t xml:space="preserve">art. 28, </w:t>
      </w:r>
      <w:r w:rsidR="002478C1" w:rsidRPr="005414BD">
        <w:rPr>
          <w:color w:val="000000"/>
        </w:rPr>
        <w:t>inciso II</w:t>
      </w:r>
      <w:r w:rsidR="007C3EB2" w:rsidRPr="005414BD">
        <w:rPr>
          <w:color w:val="000000"/>
        </w:rPr>
        <w:t xml:space="preserve">, do </w:t>
      </w:r>
      <w:r w:rsidR="00A15908" w:rsidRPr="005414BD">
        <w:rPr>
          <w:color w:val="000000"/>
        </w:rPr>
        <w:t>e</w:t>
      </w:r>
      <w:r w:rsidR="007C3EB2" w:rsidRPr="005414BD">
        <w:rPr>
          <w:color w:val="000000"/>
        </w:rPr>
        <w:t>statuto da entidade</w:t>
      </w:r>
      <w:r w:rsidR="002478C1" w:rsidRPr="005414BD">
        <w:rPr>
          <w:color w:val="000000"/>
        </w:rPr>
        <w:t>, resta</w:t>
      </w:r>
      <w:r w:rsidR="00F126FC" w:rsidRPr="005414BD">
        <w:rPr>
          <w:color w:val="000000"/>
        </w:rPr>
        <w:t>ndo, porém,</w:t>
      </w:r>
      <w:r w:rsidR="002478C1" w:rsidRPr="005414BD">
        <w:rPr>
          <w:color w:val="000000"/>
        </w:rPr>
        <w:t xml:space="preserve"> configurado o impedimento de exercer a advocacia contra a Fazenda Pública que os remunere (art. 30, inciso I), bem como o “</w:t>
      </w:r>
      <w:r w:rsidR="002478C1" w:rsidRPr="005414BD">
        <w:rPr>
          <w:color w:val="000000"/>
          <w:sz w:val="22"/>
        </w:rPr>
        <w:t>impedimento de exercer a advocacia nos processos de competência do próprio Tribunal de Contas ao qual servem</w:t>
      </w:r>
      <w:r w:rsidR="002478C1" w:rsidRPr="005414BD">
        <w:rPr>
          <w:color w:val="000000"/>
        </w:rPr>
        <w:t>”</w:t>
      </w:r>
      <w:bookmarkStart w:id="1" w:name="art29ii"/>
      <w:bookmarkEnd w:id="1"/>
      <w:r w:rsidRPr="005414BD">
        <w:rPr>
          <w:color w:val="000000"/>
        </w:rPr>
        <w:t>;</w:t>
      </w:r>
    </w:p>
    <w:p w:rsidR="00DB2379" w:rsidRPr="005414BD" w:rsidRDefault="00003C18" w:rsidP="00003C18">
      <w:pPr>
        <w:tabs>
          <w:tab w:val="left" w:pos="1134"/>
        </w:tabs>
        <w:spacing w:before="60" w:after="60"/>
        <w:ind w:firstLine="1134"/>
        <w:jc w:val="both"/>
        <w:rPr>
          <w:color w:val="000000"/>
        </w:rPr>
      </w:pPr>
      <w:r w:rsidRPr="005414BD">
        <w:rPr>
          <w:color w:val="000000"/>
        </w:rPr>
        <w:t xml:space="preserve">i) </w:t>
      </w:r>
      <w:r w:rsidR="00DB2379" w:rsidRPr="005414BD">
        <w:rPr>
          <w:color w:val="000000"/>
        </w:rPr>
        <w:t xml:space="preserve">da mesma forma que o servidor do TCU não pode atuar como advogado nos processos em tramitação nesta Casa, não deve ser admitido que se </w:t>
      </w:r>
      <w:r w:rsidRPr="005414BD">
        <w:rPr>
          <w:color w:val="000000"/>
        </w:rPr>
        <w:t>“</w:t>
      </w:r>
      <w:r w:rsidR="00DB2379" w:rsidRPr="005414BD">
        <w:rPr>
          <w:color w:val="000000"/>
        </w:rPr>
        <w:t>filie</w:t>
      </w:r>
      <w:r w:rsidRPr="005414BD">
        <w:rPr>
          <w:color w:val="000000"/>
        </w:rPr>
        <w:t>”</w:t>
      </w:r>
      <w:r w:rsidR="00DB2379" w:rsidRPr="005414BD">
        <w:rPr>
          <w:color w:val="000000"/>
        </w:rPr>
        <w:t xml:space="preserve"> a entidade que objetiva defender prerrogativas de advogados perante o Tribunal</w:t>
      </w:r>
      <w:r w:rsidRPr="005414BD">
        <w:rPr>
          <w:color w:val="000000"/>
        </w:rPr>
        <w:t>;</w:t>
      </w:r>
      <w:r w:rsidR="00DB2379" w:rsidRPr="005414BD">
        <w:rPr>
          <w:color w:val="000000"/>
        </w:rPr>
        <w:t xml:space="preserve"> </w:t>
      </w:r>
    </w:p>
    <w:p w:rsidR="0044320C" w:rsidRPr="0044320C" w:rsidRDefault="0044320C" w:rsidP="00003C18">
      <w:pPr>
        <w:tabs>
          <w:tab w:val="left" w:pos="1134"/>
        </w:tabs>
        <w:spacing w:before="60" w:after="60"/>
        <w:jc w:val="both"/>
        <w:rPr>
          <w:color w:val="000000"/>
          <w:sz w:val="22"/>
          <w:szCs w:val="22"/>
        </w:rPr>
      </w:pPr>
      <w:r w:rsidRPr="005414BD">
        <w:rPr>
          <w:color w:val="000000"/>
        </w:rPr>
        <w:tab/>
      </w:r>
      <w:r w:rsidR="00003C18" w:rsidRPr="005414BD">
        <w:rPr>
          <w:color w:val="000000"/>
        </w:rPr>
        <w:t xml:space="preserve">j) </w:t>
      </w:r>
      <w:r w:rsidRPr="005414BD">
        <w:rPr>
          <w:color w:val="000000"/>
        </w:rPr>
        <w:t xml:space="preserve">o próprio Código de Ética </w:t>
      </w:r>
      <w:r w:rsidR="003C249F" w:rsidRPr="005414BD">
        <w:rPr>
          <w:color w:val="000000"/>
        </w:rPr>
        <w:t xml:space="preserve">e Disciplina </w:t>
      </w:r>
      <w:r w:rsidRPr="005414BD">
        <w:rPr>
          <w:color w:val="000000"/>
        </w:rPr>
        <w:t>da OAB</w:t>
      </w:r>
      <w:r w:rsidR="003C249F" w:rsidRPr="005414BD">
        <w:rPr>
          <w:rStyle w:val="Refdenotaderodap"/>
          <w:color w:val="000000"/>
        </w:rPr>
        <w:footnoteReference w:id="5"/>
      </w:r>
      <w:r w:rsidRPr="005414BD">
        <w:rPr>
          <w:color w:val="000000"/>
        </w:rPr>
        <w:t xml:space="preserve"> contempla dispositivo que </w:t>
      </w:r>
      <w:r w:rsidR="00262999" w:rsidRPr="005414BD">
        <w:rPr>
          <w:color w:val="000000"/>
        </w:rPr>
        <w:t xml:space="preserve">orienta sobre a manutenção de certa </w:t>
      </w:r>
      <w:r w:rsidR="003C249F" w:rsidRPr="005414BD">
        <w:rPr>
          <w:color w:val="000000"/>
        </w:rPr>
        <w:t xml:space="preserve">distância </w:t>
      </w:r>
      <w:r w:rsidRPr="005414BD">
        <w:rPr>
          <w:color w:val="000000"/>
        </w:rPr>
        <w:t>entre advogados que</w:t>
      </w:r>
      <w:r w:rsidR="0039322F" w:rsidRPr="005414BD">
        <w:rPr>
          <w:color w:val="000000"/>
        </w:rPr>
        <w:t xml:space="preserve"> </w:t>
      </w:r>
      <w:r w:rsidR="00962F93" w:rsidRPr="005414BD">
        <w:rPr>
          <w:color w:val="000000"/>
        </w:rPr>
        <w:t xml:space="preserve">exerçam </w:t>
      </w:r>
      <w:r w:rsidRPr="005414BD">
        <w:rPr>
          <w:color w:val="000000"/>
        </w:rPr>
        <w:t xml:space="preserve">funções em órgãos da entidade </w:t>
      </w:r>
      <w:r w:rsidR="003C249F" w:rsidRPr="005414BD">
        <w:rPr>
          <w:color w:val="000000"/>
        </w:rPr>
        <w:t>ou</w:t>
      </w:r>
      <w:r w:rsidRPr="005414BD">
        <w:rPr>
          <w:color w:val="000000"/>
        </w:rPr>
        <w:t xml:space="preserve"> representem a classe </w:t>
      </w:r>
      <w:r w:rsidR="003C249F" w:rsidRPr="005414BD">
        <w:rPr>
          <w:color w:val="000000"/>
        </w:rPr>
        <w:t>e</w:t>
      </w:r>
      <w:r w:rsidRPr="005414BD">
        <w:rPr>
          <w:color w:val="000000"/>
        </w:rPr>
        <w:t xml:space="preserve"> as instituições </w:t>
      </w:r>
      <w:r w:rsidR="003C249F" w:rsidRPr="005414BD">
        <w:rPr>
          <w:color w:val="000000"/>
        </w:rPr>
        <w:t xml:space="preserve">com </w:t>
      </w:r>
      <w:r w:rsidRPr="005414BD">
        <w:rPr>
          <w:color w:val="000000"/>
        </w:rPr>
        <w:t>que</w:t>
      </w:r>
      <w:r w:rsidR="003C249F" w:rsidRPr="005414BD">
        <w:rPr>
          <w:color w:val="000000"/>
        </w:rPr>
        <w:t xml:space="preserve">m </w:t>
      </w:r>
      <w:r w:rsidR="0039322F" w:rsidRPr="005414BD">
        <w:rPr>
          <w:color w:val="000000"/>
        </w:rPr>
        <w:t xml:space="preserve">mantenham </w:t>
      </w:r>
      <w:r w:rsidR="003C249F" w:rsidRPr="005414BD">
        <w:rPr>
          <w:color w:val="000000"/>
        </w:rPr>
        <w:t>quaisquer relacionamentos</w:t>
      </w:r>
      <w:r w:rsidR="00003C18" w:rsidRPr="005414BD">
        <w:rPr>
          <w:color w:val="000000"/>
        </w:rPr>
        <w:t>.</w:t>
      </w:r>
      <w:r w:rsidR="001B3C79">
        <w:rPr>
          <w:color w:val="000000"/>
        </w:rPr>
        <w:t xml:space="preserve"> </w:t>
      </w:r>
    </w:p>
    <w:p w:rsidR="00AA0033" w:rsidRPr="005414BD" w:rsidRDefault="00F126FC" w:rsidP="003575BA">
      <w:pPr>
        <w:tabs>
          <w:tab w:val="left" w:pos="1134"/>
        </w:tabs>
        <w:spacing w:before="60" w:after="60"/>
        <w:jc w:val="both"/>
        <w:rPr>
          <w:shd w:val="clear" w:color="auto" w:fill="FFFFFF"/>
        </w:rPr>
      </w:pPr>
      <w:r>
        <w:rPr>
          <w:color w:val="000000"/>
        </w:rPr>
        <w:tab/>
      </w:r>
      <w:r w:rsidR="00877FB0" w:rsidRPr="005414BD">
        <w:rPr>
          <w:color w:val="000000"/>
        </w:rPr>
        <w:t xml:space="preserve">Diante das </w:t>
      </w:r>
      <w:r w:rsidR="00877FB0" w:rsidRPr="005414BD">
        <w:rPr>
          <w:shd w:val="clear" w:color="auto" w:fill="FFFFFF"/>
        </w:rPr>
        <w:t>competências definidas nos dispositivos da Lei 8.906/1994</w:t>
      </w:r>
      <w:r w:rsidR="00FC73D3" w:rsidRPr="005414BD">
        <w:rPr>
          <w:shd w:val="clear" w:color="auto" w:fill="FFFFFF"/>
        </w:rPr>
        <w:t xml:space="preserve"> a seguir listados</w:t>
      </w:r>
      <w:r w:rsidR="00D87394" w:rsidRPr="005414BD">
        <w:rPr>
          <w:shd w:val="clear" w:color="auto" w:fill="FFFFFF"/>
        </w:rPr>
        <w:t xml:space="preserve">, </w:t>
      </w:r>
      <w:r w:rsidR="00DF5A77" w:rsidRPr="005414BD">
        <w:rPr>
          <w:shd w:val="clear" w:color="auto" w:fill="FFFFFF"/>
        </w:rPr>
        <w:t>é</w:t>
      </w:r>
      <w:r w:rsidR="00D87394" w:rsidRPr="005414BD">
        <w:rPr>
          <w:shd w:val="clear" w:color="auto" w:fill="FFFFFF"/>
        </w:rPr>
        <w:t xml:space="preserve"> evidente que esses </w:t>
      </w:r>
      <w:r w:rsidR="00D87394" w:rsidRPr="005414BD">
        <w:rPr>
          <w:color w:val="000000"/>
        </w:rPr>
        <w:t xml:space="preserve">argumentos </w:t>
      </w:r>
      <w:r w:rsidR="00E3356F" w:rsidRPr="005414BD">
        <w:rPr>
          <w:color w:val="000000"/>
        </w:rPr>
        <w:t xml:space="preserve">se </w:t>
      </w:r>
      <w:r w:rsidR="00D87394" w:rsidRPr="005414BD">
        <w:rPr>
          <w:color w:val="000000"/>
        </w:rPr>
        <w:t>ajustam ao presente caso</w:t>
      </w:r>
      <w:r w:rsidR="00877FB0" w:rsidRPr="005414BD">
        <w:rPr>
          <w:shd w:val="clear" w:color="auto" w:fill="FFFFFF"/>
        </w:rPr>
        <w:t>:</w:t>
      </w:r>
    </w:p>
    <w:p w:rsidR="00877FB0" w:rsidRPr="005414BD" w:rsidRDefault="00877FB0" w:rsidP="00877FB0">
      <w:pPr>
        <w:tabs>
          <w:tab w:val="left" w:pos="1134"/>
        </w:tabs>
        <w:spacing w:after="60"/>
        <w:ind w:left="567"/>
        <w:jc w:val="both"/>
        <w:rPr>
          <w:color w:val="000000"/>
          <w:sz w:val="22"/>
          <w:szCs w:val="22"/>
          <w:shd w:val="clear" w:color="auto" w:fill="FFFFFF"/>
        </w:rPr>
      </w:pPr>
      <w:r w:rsidRPr="005414BD">
        <w:rPr>
          <w:color w:val="000000"/>
          <w:sz w:val="22"/>
          <w:szCs w:val="22"/>
          <w:shd w:val="clear" w:color="auto" w:fill="FFFFFF"/>
        </w:rPr>
        <w:t>“Art. 48. O cargo de conselheiro ou de membro de diretoria de órgão da OAB é de exercício gratuito e obrigatório, considerado serviço público relevante, inclusive para fins de disponibilidade e aposentadoria.</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r w:rsidRPr="005414BD">
        <w:rPr>
          <w:color w:val="000000"/>
          <w:sz w:val="22"/>
          <w:szCs w:val="22"/>
        </w:rPr>
        <w:t>(...)</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r w:rsidRPr="005414BD">
        <w:rPr>
          <w:color w:val="000000"/>
          <w:sz w:val="22"/>
          <w:szCs w:val="22"/>
        </w:rPr>
        <w:t>Art. 58. Compete privativamente ao Conselho Seccional: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 w:name="art58i"/>
      <w:bookmarkEnd w:id="2"/>
      <w:r w:rsidRPr="005414BD">
        <w:rPr>
          <w:color w:val="000000"/>
          <w:sz w:val="22"/>
          <w:szCs w:val="22"/>
        </w:rPr>
        <w:t>I - editar seu regimento interno e resoluções;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3" w:name="art58ii"/>
      <w:bookmarkEnd w:id="3"/>
      <w:r w:rsidRPr="005414BD">
        <w:rPr>
          <w:color w:val="000000"/>
          <w:sz w:val="22"/>
          <w:szCs w:val="22"/>
        </w:rPr>
        <w:t>II - criar as Subseções e a Caixa de Assistência dos Advogados;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4" w:name="art58iii"/>
      <w:bookmarkEnd w:id="4"/>
      <w:r w:rsidRPr="005414BD">
        <w:rPr>
          <w:color w:val="000000"/>
          <w:sz w:val="22"/>
          <w:szCs w:val="22"/>
        </w:rPr>
        <w:t>III - julgar, em grau de recurso, as questões decididas por seu Presidente, por sua diretoria, pelo Tribunal de Ética e Disciplina, pelas diretorias das Subseções e da Caixa de Assistência dos Advogados;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5" w:name="art58iv"/>
      <w:bookmarkEnd w:id="5"/>
      <w:r w:rsidRPr="005414BD">
        <w:rPr>
          <w:color w:val="000000"/>
          <w:sz w:val="22"/>
          <w:szCs w:val="22"/>
        </w:rPr>
        <w:t>IV - fiscalizar a aplicação da receita, apreciar o relatório anual e deliberar sobre o balanço e as contas de sua diretoria, das diretorias das Subseções e da Caixa de Assistência dos Advogados;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6" w:name="art58v"/>
      <w:bookmarkEnd w:id="6"/>
      <w:r w:rsidRPr="005414BD">
        <w:rPr>
          <w:color w:val="000000"/>
          <w:sz w:val="22"/>
          <w:szCs w:val="22"/>
        </w:rPr>
        <w:t>V - fixar a tabela de honorários, válida para todo o território estadual;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7" w:name="art58vi"/>
      <w:bookmarkEnd w:id="7"/>
      <w:r w:rsidRPr="005414BD">
        <w:rPr>
          <w:color w:val="000000"/>
          <w:sz w:val="22"/>
          <w:szCs w:val="22"/>
        </w:rPr>
        <w:t>VI - realizar o Exame de Ordem;</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8" w:name="art58vii"/>
      <w:bookmarkEnd w:id="8"/>
      <w:r w:rsidRPr="005414BD">
        <w:rPr>
          <w:color w:val="000000"/>
          <w:sz w:val="22"/>
          <w:szCs w:val="22"/>
        </w:rPr>
        <w:t>VII - decidir os pedidos de inscrição nos quadros de advogados e estagiários;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9" w:name="art58viii"/>
      <w:bookmarkEnd w:id="9"/>
      <w:r w:rsidRPr="005414BD">
        <w:rPr>
          <w:color w:val="000000"/>
          <w:sz w:val="22"/>
          <w:szCs w:val="22"/>
        </w:rPr>
        <w:t>VIII - manter cadastro de seus inscritos;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0" w:name="art58ix"/>
      <w:bookmarkEnd w:id="10"/>
      <w:r w:rsidRPr="005414BD">
        <w:rPr>
          <w:color w:val="000000"/>
          <w:sz w:val="22"/>
          <w:szCs w:val="22"/>
        </w:rPr>
        <w:t>IX - fixar, alterar e receber contribuições obrigatórias, preços de serviços e multas;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1" w:name="art58x"/>
      <w:bookmarkEnd w:id="11"/>
      <w:r w:rsidRPr="005414BD">
        <w:rPr>
          <w:color w:val="000000"/>
          <w:sz w:val="22"/>
          <w:szCs w:val="22"/>
        </w:rPr>
        <w:t>X - participar da elaboração dos concursos públicos, em todas as suas fases, nos casos previstos na Constituição e nas leis, no âmbito do seu território;</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2" w:name="art58xi"/>
      <w:bookmarkEnd w:id="12"/>
      <w:r w:rsidRPr="005414BD">
        <w:rPr>
          <w:color w:val="000000"/>
          <w:sz w:val="22"/>
          <w:szCs w:val="22"/>
        </w:rPr>
        <w:t>XI - determinar, com exclusividade, critérios para o traje dos advogados, no exercício profissional;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3" w:name="art58xii"/>
      <w:bookmarkEnd w:id="13"/>
      <w:r w:rsidRPr="005414BD">
        <w:rPr>
          <w:color w:val="000000"/>
          <w:sz w:val="22"/>
          <w:szCs w:val="22"/>
        </w:rPr>
        <w:t>XII - aprovar e modificar seu orçamento anual;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4" w:name="art58xiii"/>
      <w:bookmarkEnd w:id="14"/>
      <w:r w:rsidRPr="005414BD">
        <w:rPr>
          <w:color w:val="000000"/>
          <w:sz w:val="22"/>
          <w:szCs w:val="22"/>
        </w:rPr>
        <w:lastRenderedPageBreak/>
        <w:t>XIII - definir a composição e o funcionamento do Tribunal de Ética e Disciplina, e escolher seus membros;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5" w:name="art58xiv"/>
      <w:bookmarkEnd w:id="15"/>
      <w:r w:rsidRPr="005414BD">
        <w:rPr>
          <w:color w:val="000000"/>
          <w:sz w:val="22"/>
          <w:szCs w:val="22"/>
        </w:rPr>
        <w:t>XIV - eleger as listas, constitucionalmente previstas, para preenchimento dos cargos nos tribunais judiciários, no âmbito de sua competência e na forma do Provimento do Conselho Federal, vedada a inclusão de membros do próprio Conselho e de qualquer órgão da OAB;</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6" w:name="art58xv"/>
      <w:bookmarkEnd w:id="16"/>
      <w:r w:rsidRPr="005414BD">
        <w:rPr>
          <w:color w:val="000000"/>
          <w:sz w:val="22"/>
          <w:szCs w:val="22"/>
        </w:rPr>
        <w:t>XV - intervir nas Subseções e na Caixa de Assistência dos Advogados;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7" w:name="art58xvi"/>
      <w:bookmarkEnd w:id="17"/>
      <w:r w:rsidRPr="005414BD">
        <w:rPr>
          <w:color w:val="000000"/>
          <w:sz w:val="22"/>
          <w:szCs w:val="22"/>
        </w:rPr>
        <w:t>XVI - desempenhar outras atribuições previstas no regulamento geral.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r w:rsidRPr="005414BD">
        <w:rPr>
          <w:color w:val="000000"/>
          <w:sz w:val="22"/>
          <w:szCs w:val="22"/>
        </w:rPr>
        <w:t>(...)</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r w:rsidRPr="005414BD">
        <w:rPr>
          <w:color w:val="000000"/>
          <w:sz w:val="22"/>
          <w:szCs w:val="22"/>
        </w:rPr>
        <w:t>Art. 61. Compete à Subseção, no âmbito de seu território:</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8" w:name="art61i"/>
      <w:bookmarkEnd w:id="18"/>
      <w:r w:rsidRPr="005414BD">
        <w:rPr>
          <w:color w:val="000000"/>
          <w:sz w:val="22"/>
          <w:szCs w:val="22"/>
        </w:rPr>
        <w:t>I - dar cumprimento efetivo às finalidades da OAB;</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19" w:name="art61ii"/>
      <w:bookmarkEnd w:id="19"/>
      <w:r w:rsidRPr="005414BD">
        <w:rPr>
          <w:color w:val="000000"/>
          <w:sz w:val="22"/>
          <w:szCs w:val="22"/>
        </w:rPr>
        <w:t>II - velar pela dignidade, independência e valorização da advocacia, e fazer valer as prerrogativas do advogado;</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0" w:name="art61iii"/>
      <w:bookmarkEnd w:id="20"/>
      <w:r w:rsidRPr="005414BD">
        <w:rPr>
          <w:color w:val="000000"/>
          <w:sz w:val="22"/>
          <w:szCs w:val="22"/>
        </w:rPr>
        <w:t>III - representar a OAB perante os poderes constituídos;</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1" w:name="art61iv"/>
      <w:bookmarkEnd w:id="21"/>
      <w:r w:rsidRPr="005414BD">
        <w:rPr>
          <w:color w:val="000000"/>
          <w:sz w:val="22"/>
          <w:szCs w:val="22"/>
        </w:rPr>
        <w:t>IV - desempenhar as atribuições previstas no regulamento geral ou por delegação de competência do Conselho Seccional.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2" w:name="art61p"/>
      <w:bookmarkEnd w:id="22"/>
      <w:r w:rsidRPr="005414BD">
        <w:rPr>
          <w:color w:val="000000"/>
          <w:sz w:val="22"/>
          <w:szCs w:val="22"/>
        </w:rPr>
        <w:t>Parágrafo único. Ao Conselho da Subseção, quando houver, compete exercer as funções e atribuições do Conselho Seccional, na forma do regimento interno deste, e ainda:</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3" w:name="art61pa"/>
      <w:bookmarkEnd w:id="23"/>
      <w:r w:rsidRPr="005414BD">
        <w:rPr>
          <w:color w:val="000000"/>
          <w:sz w:val="22"/>
          <w:szCs w:val="22"/>
        </w:rPr>
        <w:t>a) editar seu regimento interno, a ser referendado pelo Conselho Seccional;</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4" w:name="art61pb"/>
      <w:bookmarkEnd w:id="24"/>
      <w:r w:rsidRPr="005414BD">
        <w:rPr>
          <w:color w:val="000000"/>
          <w:sz w:val="22"/>
          <w:szCs w:val="22"/>
        </w:rPr>
        <w:t>b) editar resoluções, no âmbito de sua competência;</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5" w:name="art61pc"/>
      <w:bookmarkEnd w:id="25"/>
      <w:r w:rsidRPr="005414BD">
        <w:rPr>
          <w:color w:val="000000"/>
          <w:sz w:val="22"/>
          <w:szCs w:val="22"/>
        </w:rPr>
        <w:t>c) instaurar e instruir processos disciplinares, para julgamento pelo Tribunal de Ética e Disciplina;</w:t>
      </w:r>
    </w:p>
    <w:p w:rsidR="00877FB0" w:rsidRPr="005414BD" w:rsidRDefault="00877FB0" w:rsidP="00877FB0">
      <w:pPr>
        <w:pStyle w:val="NormalWeb"/>
        <w:shd w:val="clear" w:color="auto" w:fill="FFFFFF"/>
        <w:tabs>
          <w:tab w:val="left" w:pos="1134"/>
        </w:tabs>
        <w:spacing w:before="0" w:beforeAutospacing="0" w:after="60" w:afterAutospacing="0"/>
        <w:ind w:left="567"/>
        <w:jc w:val="both"/>
        <w:rPr>
          <w:color w:val="000000"/>
          <w:sz w:val="22"/>
          <w:szCs w:val="22"/>
        </w:rPr>
      </w:pPr>
      <w:bookmarkStart w:id="26" w:name="art61pd"/>
      <w:bookmarkEnd w:id="26"/>
      <w:r w:rsidRPr="005414BD">
        <w:rPr>
          <w:color w:val="000000"/>
          <w:sz w:val="22"/>
          <w:szCs w:val="22"/>
        </w:rPr>
        <w:t>d) receber pedido de inscrição nos quadros de advogado e estagiário, instruindo e emitindo parecer prévio, para decisão do Conselho Seccional.”</w:t>
      </w:r>
    </w:p>
    <w:p w:rsidR="00842617" w:rsidRPr="005414BD" w:rsidRDefault="00842617" w:rsidP="003575BA">
      <w:pPr>
        <w:tabs>
          <w:tab w:val="left" w:pos="1134"/>
        </w:tabs>
        <w:spacing w:before="60" w:after="60"/>
        <w:jc w:val="both"/>
        <w:rPr>
          <w:color w:val="000000"/>
        </w:rPr>
      </w:pPr>
      <w:r w:rsidRPr="005414BD">
        <w:rPr>
          <w:color w:val="000000"/>
          <w:shd w:val="clear" w:color="auto" w:fill="FFFFFF"/>
        </w:rPr>
        <w:tab/>
        <w:t xml:space="preserve">Decerto, as competências </w:t>
      </w:r>
      <w:r w:rsidR="003A782C" w:rsidRPr="005414BD">
        <w:rPr>
          <w:color w:val="000000"/>
          <w:shd w:val="clear" w:color="auto" w:fill="FFFFFF"/>
        </w:rPr>
        <w:t xml:space="preserve">de conselheiro </w:t>
      </w:r>
      <w:r w:rsidR="008F2496" w:rsidRPr="005414BD">
        <w:rPr>
          <w:color w:val="000000"/>
          <w:shd w:val="clear" w:color="auto" w:fill="FFFFFF"/>
        </w:rPr>
        <w:t xml:space="preserve">dos citados entes </w:t>
      </w:r>
      <w:r w:rsidRPr="005414BD">
        <w:rPr>
          <w:color w:val="000000"/>
          <w:shd w:val="clear" w:color="auto" w:fill="FFFFFF"/>
        </w:rPr>
        <w:t xml:space="preserve">incluem </w:t>
      </w:r>
      <w:r w:rsidR="0059197B" w:rsidRPr="005414BD">
        <w:rPr>
          <w:color w:val="000000"/>
          <w:shd w:val="clear" w:color="auto" w:fill="FFFFFF"/>
        </w:rPr>
        <w:t xml:space="preserve">opinar </w:t>
      </w:r>
      <w:r w:rsidRPr="005414BD">
        <w:rPr>
          <w:color w:val="000000"/>
          <w:shd w:val="clear" w:color="auto" w:fill="FFFFFF"/>
        </w:rPr>
        <w:t xml:space="preserve">em assuntos relevantes da OAB/DF, </w:t>
      </w:r>
      <w:r w:rsidR="003A782C" w:rsidRPr="005414BD">
        <w:rPr>
          <w:color w:val="000000"/>
          <w:shd w:val="clear" w:color="auto" w:fill="FFFFFF"/>
        </w:rPr>
        <w:t xml:space="preserve">que </w:t>
      </w:r>
      <w:r w:rsidR="008F2496" w:rsidRPr="005414BD">
        <w:rPr>
          <w:color w:val="000000"/>
          <w:shd w:val="clear" w:color="auto" w:fill="FFFFFF"/>
        </w:rPr>
        <w:t>vão</w:t>
      </w:r>
      <w:r w:rsidR="003A782C" w:rsidRPr="005414BD">
        <w:rPr>
          <w:color w:val="000000"/>
          <w:shd w:val="clear" w:color="auto" w:fill="FFFFFF"/>
        </w:rPr>
        <w:t xml:space="preserve"> </w:t>
      </w:r>
      <w:r w:rsidRPr="005414BD">
        <w:rPr>
          <w:color w:val="000000"/>
          <w:shd w:val="clear" w:color="auto" w:fill="FFFFFF"/>
        </w:rPr>
        <w:t>desde, por exemplo, aprovação do orçamento e deliberação sobre a</w:t>
      </w:r>
      <w:r w:rsidRPr="005414BD">
        <w:rPr>
          <w:color w:val="000000"/>
        </w:rPr>
        <w:t>s contas da diretoria até julgamento, em grau de recurso, de questões decididas p</w:t>
      </w:r>
      <w:r w:rsidR="008F2496" w:rsidRPr="005414BD">
        <w:rPr>
          <w:color w:val="000000"/>
        </w:rPr>
        <w:t>or seu</w:t>
      </w:r>
      <w:r w:rsidRPr="005414BD">
        <w:rPr>
          <w:color w:val="000000"/>
        </w:rPr>
        <w:t xml:space="preserve"> Tribunal de Ética e Disciplina</w:t>
      </w:r>
      <w:r w:rsidR="003A782C" w:rsidRPr="005414BD">
        <w:rPr>
          <w:color w:val="000000"/>
        </w:rPr>
        <w:t>.</w:t>
      </w:r>
    </w:p>
    <w:p w:rsidR="00E3356F" w:rsidRPr="005414BD" w:rsidRDefault="00E3356F" w:rsidP="00E3356F">
      <w:pPr>
        <w:tabs>
          <w:tab w:val="left" w:pos="1134"/>
        </w:tabs>
        <w:spacing w:before="60" w:after="60"/>
        <w:jc w:val="both"/>
        <w:rPr>
          <w:color w:val="201F1E"/>
          <w:shd w:val="clear" w:color="auto" w:fill="FFFFFF"/>
        </w:rPr>
      </w:pPr>
      <w:r w:rsidRPr="005414BD">
        <w:rPr>
          <w:color w:val="201F1E"/>
          <w:shd w:val="clear" w:color="auto" w:fill="FFFFFF"/>
        </w:rPr>
        <w:tab/>
      </w:r>
      <w:r w:rsidR="008F2496" w:rsidRPr="005414BD">
        <w:rPr>
          <w:color w:val="201F1E"/>
          <w:shd w:val="clear" w:color="auto" w:fill="FFFFFF"/>
        </w:rPr>
        <w:t>Neste ponto, é importante l</w:t>
      </w:r>
      <w:r w:rsidRPr="005414BD">
        <w:rPr>
          <w:color w:val="201F1E"/>
          <w:shd w:val="clear" w:color="auto" w:fill="FFFFFF"/>
        </w:rPr>
        <w:t>embr</w:t>
      </w:r>
      <w:r w:rsidR="008F2496" w:rsidRPr="005414BD">
        <w:rPr>
          <w:color w:val="201F1E"/>
          <w:shd w:val="clear" w:color="auto" w:fill="FFFFFF"/>
        </w:rPr>
        <w:t>ar</w:t>
      </w:r>
      <w:r w:rsidRPr="005414BD">
        <w:rPr>
          <w:color w:val="201F1E"/>
          <w:shd w:val="clear" w:color="auto" w:fill="FFFFFF"/>
        </w:rPr>
        <w:t xml:space="preserve"> que, segundo o Referencial de Combate a Fraude e Corrupção editado pelo TCU</w:t>
      </w:r>
      <w:r w:rsidRPr="005414BD">
        <w:rPr>
          <w:rStyle w:val="Refdenotaderodap"/>
          <w:color w:val="201F1E"/>
          <w:shd w:val="clear" w:color="auto" w:fill="FFFFFF"/>
        </w:rPr>
        <w:footnoteReference w:id="6"/>
      </w:r>
      <w:r w:rsidRPr="005414BD">
        <w:rPr>
          <w:color w:val="201F1E"/>
          <w:shd w:val="clear" w:color="auto" w:fill="FFFFFF"/>
        </w:rPr>
        <w:t xml:space="preserve">, os interesses secundários do servidor </w:t>
      </w:r>
      <w:r w:rsidRPr="005414BD">
        <w:t>(pessoais, científicos, educacionais, assistenciais, religiosos, financeiros etc.)</w:t>
      </w:r>
      <w:r w:rsidRPr="005414BD">
        <w:rPr>
          <w:color w:val="201F1E"/>
          <w:shd w:val="clear" w:color="auto" w:fill="FFFFFF"/>
        </w:rPr>
        <w:t xml:space="preserve"> não são considerados irregulares em si, mas passam a ser questionáveis caso influenciem o interesse primário, que se re</w:t>
      </w:r>
      <w:r w:rsidR="003D7945">
        <w:rPr>
          <w:color w:val="201F1E"/>
          <w:shd w:val="clear" w:color="auto" w:fill="FFFFFF"/>
        </w:rPr>
        <w:t>laciona</w:t>
      </w:r>
      <w:r w:rsidRPr="005414BD">
        <w:rPr>
          <w:color w:val="201F1E"/>
          <w:shd w:val="clear" w:color="auto" w:fill="FFFFFF"/>
        </w:rPr>
        <w:t xml:space="preserve"> aos principais objetivos da atividade do agente público, notadamente o interesse público.</w:t>
      </w:r>
      <w:r w:rsidR="00D95428" w:rsidRPr="005414BD">
        <w:rPr>
          <w:color w:val="201F1E"/>
          <w:shd w:val="clear" w:color="auto" w:fill="FFFFFF"/>
        </w:rPr>
        <w:t xml:space="preserve"> </w:t>
      </w:r>
    </w:p>
    <w:p w:rsidR="00877FB0" w:rsidRPr="005414BD" w:rsidRDefault="00E3356F" w:rsidP="003575BA">
      <w:pPr>
        <w:tabs>
          <w:tab w:val="left" w:pos="1134"/>
        </w:tabs>
        <w:spacing w:before="60" w:after="60"/>
        <w:jc w:val="both"/>
        <w:rPr>
          <w:shd w:val="clear" w:color="auto" w:fill="FFFFFF"/>
        </w:rPr>
      </w:pPr>
      <w:r w:rsidRPr="005414BD">
        <w:rPr>
          <w:color w:val="201F1E"/>
          <w:shd w:val="clear" w:color="auto" w:fill="FFFFFF"/>
        </w:rPr>
        <w:tab/>
      </w:r>
      <w:bookmarkStart w:id="27" w:name="art5p"/>
      <w:bookmarkEnd w:id="27"/>
      <w:r w:rsidR="00842617" w:rsidRPr="005414BD">
        <w:rPr>
          <w:color w:val="000000"/>
        </w:rPr>
        <w:t>Nesse sentido</w:t>
      </w:r>
      <w:r w:rsidR="00D87394" w:rsidRPr="005414BD">
        <w:rPr>
          <w:color w:val="000000"/>
        </w:rPr>
        <w:t>,</w:t>
      </w:r>
      <w:r w:rsidR="003A782C" w:rsidRPr="005414BD">
        <w:rPr>
          <w:color w:val="000000"/>
        </w:rPr>
        <w:t xml:space="preserve"> uma vez que a OAB/DF é incumbida de fazer valer prerrogativas de profissionais que atuam </w:t>
      </w:r>
      <w:r w:rsidR="008F2496" w:rsidRPr="005414BD">
        <w:rPr>
          <w:color w:val="000000"/>
        </w:rPr>
        <w:t xml:space="preserve">de forma </w:t>
      </w:r>
      <w:r w:rsidR="003A782C" w:rsidRPr="005414BD">
        <w:rPr>
          <w:color w:val="000000"/>
        </w:rPr>
        <w:t xml:space="preserve">rotineira </w:t>
      </w:r>
      <w:r w:rsidR="00261D1D" w:rsidRPr="005414BD">
        <w:rPr>
          <w:color w:val="000000"/>
        </w:rPr>
        <w:t xml:space="preserve">em </w:t>
      </w:r>
      <w:r w:rsidR="003A782C" w:rsidRPr="005414BD">
        <w:rPr>
          <w:color w:val="000000"/>
        </w:rPr>
        <w:t xml:space="preserve">processos de controle externo e, eventualmente, poderá ser incluída na jurisdição do TCU, </w:t>
      </w:r>
      <w:r w:rsidR="00877FB0" w:rsidRPr="005414BD">
        <w:rPr>
          <w:color w:val="000000"/>
        </w:rPr>
        <w:t xml:space="preserve">a atuação de auditor </w:t>
      </w:r>
      <w:r w:rsidR="008F2496" w:rsidRPr="005414BD">
        <w:rPr>
          <w:color w:val="000000"/>
        </w:rPr>
        <w:t>como conselheiro em seus órgãos</w:t>
      </w:r>
      <w:r w:rsidR="00877FB0" w:rsidRPr="005414BD">
        <w:rPr>
          <w:color w:val="000000"/>
        </w:rPr>
        <w:t>, independentemente de exercer, ou não, função de confiança</w:t>
      </w:r>
      <w:r w:rsidR="008F2496" w:rsidRPr="005414BD">
        <w:rPr>
          <w:color w:val="000000"/>
        </w:rPr>
        <w:t xml:space="preserve"> no Tribunal</w:t>
      </w:r>
      <w:r w:rsidR="00877FB0" w:rsidRPr="005414BD">
        <w:rPr>
          <w:color w:val="000000"/>
        </w:rPr>
        <w:t xml:space="preserve">, </w:t>
      </w:r>
      <w:r w:rsidR="003A782C" w:rsidRPr="005414BD">
        <w:rPr>
          <w:color w:val="000000"/>
        </w:rPr>
        <w:t xml:space="preserve">pode </w:t>
      </w:r>
      <w:r w:rsidR="00877FB0" w:rsidRPr="005414BD">
        <w:rPr>
          <w:shd w:val="clear" w:color="auto" w:fill="FFFFFF"/>
        </w:rPr>
        <w:t>transmitir à opinião pública dúvida a respeito de sua integridade, moralidade, clareza de posições</w:t>
      </w:r>
      <w:r w:rsidR="00261D1D" w:rsidRPr="005414BD">
        <w:rPr>
          <w:shd w:val="clear" w:color="auto" w:fill="FFFFFF"/>
        </w:rPr>
        <w:t>,</w:t>
      </w:r>
      <w:r w:rsidR="00877FB0" w:rsidRPr="005414BD">
        <w:rPr>
          <w:shd w:val="clear" w:color="auto" w:fill="FFFFFF"/>
        </w:rPr>
        <w:t xml:space="preserve"> decoro</w:t>
      </w:r>
      <w:r w:rsidR="00877FB0" w:rsidRPr="005414BD">
        <w:rPr>
          <w:rStyle w:val="Refdenotaderodap"/>
          <w:shd w:val="clear" w:color="auto" w:fill="FFFFFF"/>
        </w:rPr>
        <w:footnoteReference w:id="7"/>
      </w:r>
      <w:r w:rsidR="00F96346" w:rsidRPr="005414BD">
        <w:rPr>
          <w:shd w:val="clear" w:color="auto" w:fill="FFFFFF"/>
        </w:rPr>
        <w:t xml:space="preserve"> </w:t>
      </w:r>
      <w:r w:rsidR="00261D1D" w:rsidRPr="005414BD">
        <w:rPr>
          <w:shd w:val="clear" w:color="auto" w:fill="FFFFFF"/>
        </w:rPr>
        <w:t xml:space="preserve">e </w:t>
      </w:r>
      <w:r w:rsidRPr="005414BD">
        <w:rPr>
          <w:shd w:val="clear" w:color="auto" w:fill="FFFFFF"/>
        </w:rPr>
        <w:t>independência profissional</w:t>
      </w:r>
      <w:r w:rsidR="00D87394" w:rsidRPr="005414BD">
        <w:rPr>
          <w:shd w:val="clear" w:color="auto" w:fill="FFFFFF"/>
        </w:rPr>
        <w:t>.</w:t>
      </w:r>
    </w:p>
    <w:p w:rsidR="00A9493D" w:rsidRPr="005414BD" w:rsidRDefault="001C5BE5" w:rsidP="00A9493D">
      <w:pPr>
        <w:tabs>
          <w:tab w:val="left" w:pos="1134"/>
        </w:tabs>
        <w:spacing w:before="60" w:after="60"/>
        <w:jc w:val="both"/>
      </w:pPr>
      <w:r w:rsidRPr="005414BD">
        <w:rPr>
          <w:shd w:val="clear" w:color="auto" w:fill="FFFFFF"/>
        </w:rPr>
        <w:lastRenderedPageBreak/>
        <w:tab/>
        <w:t>Nesse contexto,</w:t>
      </w:r>
      <w:r w:rsidR="00A9493D" w:rsidRPr="005414BD">
        <w:rPr>
          <w:shd w:val="clear" w:color="auto" w:fill="FFFFFF"/>
        </w:rPr>
        <w:t xml:space="preserve"> o conflito entre interesses públicos e privados estaria materializado, nos termos do </w:t>
      </w:r>
      <w:r w:rsidR="00A9493D" w:rsidRPr="005414BD">
        <w:t xml:space="preserve">art. 5º, incisos X e XII, do Código de Ética dos Servidores do Tribunal vigente e dos arts. 10, 11, inciso III, e 13, incisos I e II e §§ 1º e 3º, do novo Código de Conduta Ética. </w:t>
      </w:r>
    </w:p>
    <w:p w:rsidR="00142842" w:rsidRPr="005414BD" w:rsidRDefault="00142842" w:rsidP="003575BA">
      <w:pPr>
        <w:tabs>
          <w:tab w:val="left" w:pos="1134"/>
        </w:tabs>
        <w:spacing w:before="60" w:after="60"/>
        <w:jc w:val="both"/>
        <w:rPr>
          <w:b/>
          <w:bCs/>
          <w:color w:val="000000"/>
        </w:rPr>
      </w:pPr>
    </w:p>
    <w:p w:rsidR="00D9022D" w:rsidRPr="005414BD" w:rsidRDefault="00D9022D" w:rsidP="003575BA">
      <w:pPr>
        <w:tabs>
          <w:tab w:val="left" w:pos="1134"/>
        </w:tabs>
        <w:spacing w:before="60" w:after="60"/>
        <w:jc w:val="both"/>
        <w:rPr>
          <w:b/>
          <w:bCs/>
          <w:color w:val="000000"/>
        </w:rPr>
      </w:pPr>
      <w:r w:rsidRPr="005414BD">
        <w:rPr>
          <w:b/>
          <w:bCs/>
          <w:color w:val="000000"/>
        </w:rPr>
        <w:t>CONCLUSÃO</w:t>
      </w:r>
    </w:p>
    <w:p w:rsidR="00300387" w:rsidRPr="00E3356F" w:rsidRDefault="00392878" w:rsidP="003575BA">
      <w:pPr>
        <w:tabs>
          <w:tab w:val="left" w:pos="1134"/>
        </w:tabs>
        <w:spacing w:before="60" w:after="60"/>
        <w:jc w:val="both"/>
      </w:pPr>
      <w:r w:rsidRPr="005414BD">
        <w:rPr>
          <w:color w:val="000000"/>
        </w:rPr>
        <w:tab/>
      </w:r>
      <w:r w:rsidR="004F14E8" w:rsidRPr="005414BD">
        <w:rPr>
          <w:color w:val="000000"/>
        </w:rPr>
        <w:t>Diante do exposto</w:t>
      </w:r>
      <w:r w:rsidR="00A97C38" w:rsidRPr="005414BD">
        <w:rPr>
          <w:color w:val="000000"/>
        </w:rPr>
        <w:t xml:space="preserve">, </w:t>
      </w:r>
      <w:r w:rsidR="006A2210" w:rsidRPr="005414BD">
        <w:rPr>
          <w:color w:val="000000"/>
        </w:rPr>
        <w:t>conclui-se por responder ao interessado</w:t>
      </w:r>
      <w:r w:rsidR="003A782C" w:rsidRPr="005414BD">
        <w:rPr>
          <w:color w:val="000000"/>
        </w:rPr>
        <w:t xml:space="preserve"> que não é possível a </w:t>
      </w:r>
      <w:r w:rsidR="003A782C" w:rsidRPr="005414BD">
        <w:rPr>
          <w:color w:val="000000"/>
          <w:shd w:val="clear" w:color="auto" w:fill="FFFFFF"/>
        </w:rPr>
        <w:t xml:space="preserve">auditor do TCU atuar como </w:t>
      </w:r>
      <w:r w:rsidR="00D90D1C" w:rsidRPr="005414BD">
        <w:rPr>
          <w:color w:val="000000"/>
          <w:shd w:val="clear" w:color="auto" w:fill="FFFFFF"/>
        </w:rPr>
        <w:t xml:space="preserve">integrante </w:t>
      </w:r>
      <w:r w:rsidR="003A782C" w:rsidRPr="005414BD">
        <w:rPr>
          <w:color w:val="000000"/>
          <w:shd w:val="clear" w:color="auto" w:fill="FFFFFF"/>
        </w:rPr>
        <w:t>do Conselho d</w:t>
      </w:r>
      <w:r w:rsidR="009B2D02" w:rsidRPr="005414BD">
        <w:rPr>
          <w:color w:val="000000"/>
          <w:shd w:val="clear" w:color="auto" w:fill="FFFFFF"/>
        </w:rPr>
        <w:t>a</w:t>
      </w:r>
      <w:r w:rsidR="003A782C" w:rsidRPr="005414BD">
        <w:rPr>
          <w:color w:val="000000"/>
          <w:shd w:val="clear" w:color="auto" w:fill="FFFFFF"/>
        </w:rPr>
        <w:t xml:space="preserve"> Seccional ou </w:t>
      </w:r>
      <w:r w:rsidR="00D90D1C" w:rsidRPr="005414BD">
        <w:rPr>
          <w:color w:val="000000"/>
          <w:shd w:val="clear" w:color="auto" w:fill="FFFFFF"/>
        </w:rPr>
        <w:t xml:space="preserve">de </w:t>
      </w:r>
      <w:r w:rsidR="003A782C" w:rsidRPr="005414BD">
        <w:rPr>
          <w:color w:val="000000"/>
          <w:shd w:val="clear" w:color="auto" w:fill="FFFFFF"/>
        </w:rPr>
        <w:t xml:space="preserve">Subseccional </w:t>
      </w:r>
      <w:r w:rsidR="009B2D02" w:rsidRPr="005414BD">
        <w:rPr>
          <w:color w:val="000000"/>
          <w:shd w:val="clear" w:color="auto" w:fill="FFFFFF"/>
        </w:rPr>
        <w:t>d</w:t>
      </w:r>
      <w:r w:rsidR="003A782C" w:rsidRPr="005414BD">
        <w:rPr>
          <w:color w:val="000000"/>
          <w:shd w:val="clear" w:color="auto" w:fill="FFFFFF"/>
        </w:rPr>
        <w:t xml:space="preserve">a Ordem dos Advogados do Brasil </w:t>
      </w:r>
      <w:r w:rsidR="009B2D02" w:rsidRPr="005414BD">
        <w:rPr>
          <w:color w:val="000000"/>
          <w:shd w:val="clear" w:color="auto" w:fill="FFFFFF"/>
        </w:rPr>
        <w:t>n</w:t>
      </w:r>
      <w:r w:rsidR="003A782C" w:rsidRPr="005414BD">
        <w:rPr>
          <w:color w:val="000000"/>
          <w:shd w:val="clear" w:color="auto" w:fill="FFFFFF"/>
        </w:rPr>
        <w:t xml:space="preserve">o Distrito Federal </w:t>
      </w:r>
      <w:r w:rsidR="003A782C" w:rsidRPr="005414BD">
        <w:t xml:space="preserve">por suscitar conflito entre interesses públicos e privados, haja vista, principalmente, </w:t>
      </w:r>
      <w:r w:rsidR="008F2496" w:rsidRPr="005414BD">
        <w:t>competir</w:t>
      </w:r>
      <w:r w:rsidR="003A782C" w:rsidRPr="005414BD">
        <w:t xml:space="preserve"> </w:t>
      </w:r>
      <w:r w:rsidR="008F2496" w:rsidRPr="005414BD">
        <w:t>à</w:t>
      </w:r>
      <w:r w:rsidR="003A782C" w:rsidRPr="005414BD">
        <w:t xml:space="preserve">quela entidade a defesa das prerrogativas dos advogados </w:t>
      </w:r>
      <w:r w:rsidR="004E25D1" w:rsidRPr="005414BD">
        <w:t xml:space="preserve">também </w:t>
      </w:r>
      <w:r w:rsidR="003A782C" w:rsidRPr="005414BD">
        <w:t>perante tribunais de contas, os quais, ao patrocinar partes arroladas em processos de controle externo, têm interesse nas deliberações proferidas por esta Casa</w:t>
      </w:r>
      <w:r w:rsidR="006A2210" w:rsidRPr="005414BD">
        <w:t>.</w:t>
      </w:r>
      <w:r w:rsidR="004E25D1">
        <w:t xml:space="preserve"> </w:t>
      </w:r>
    </w:p>
    <w:p w:rsidR="00D90D1C" w:rsidRDefault="00D90D1C" w:rsidP="009F3D77">
      <w:pPr>
        <w:pStyle w:val="PargrafodaLista"/>
        <w:ind w:left="0"/>
        <w:jc w:val="center"/>
        <w:rPr>
          <w:rFonts w:ascii="Times New Roman" w:hAnsi="Times New Roman"/>
          <w:sz w:val="24"/>
          <w:szCs w:val="24"/>
        </w:rPr>
      </w:pPr>
    </w:p>
    <w:p w:rsidR="00A15F12" w:rsidRPr="00271E1B" w:rsidRDefault="00D9022D" w:rsidP="009F3D77">
      <w:pPr>
        <w:pStyle w:val="PargrafodaLista"/>
        <w:ind w:left="0"/>
        <w:jc w:val="center"/>
        <w:rPr>
          <w:rFonts w:ascii="Times New Roman" w:hAnsi="Times New Roman"/>
          <w:sz w:val="24"/>
          <w:szCs w:val="24"/>
        </w:rPr>
      </w:pPr>
      <w:r w:rsidRPr="00271E1B">
        <w:rPr>
          <w:rFonts w:ascii="Times New Roman" w:hAnsi="Times New Roman"/>
          <w:sz w:val="24"/>
          <w:szCs w:val="24"/>
        </w:rPr>
        <w:t>TCU</w:t>
      </w:r>
      <w:r w:rsidR="00CE5AF6" w:rsidRPr="00271E1B">
        <w:rPr>
          <w:rFonts w:ascii="Times New Roman" w:hAnsi="Times New Roman"/>
          <w:sz w:val="24"/>
          <w:szCs w:val="24"/>
        </w:rPr>
        <w:t>,</w:t>
      </w:r>
      <w:r w:rsidRPr="00271E1B">
        <w:rPr>
          <w:rFonts w:ascii="Times New Roman" w:hAnsi="Times New Roman"/>
          <w:sz w:val="24"/>
          <w:szCs w:val="24"/>
        </w:rPr>
        <w:t xml:space="preserve"> em</w:t>
      </w:r>
      <w:r w:rsidR="00CE5AF6" w:rsidRPr="00271E1B">
        <w:rPr>
          <w:rFonts w:ascii="Times New Roman" w:hAnsi="Times New Roman"/>
          <w:sz w:val="24"/>
          <w:szCs w:val="24"/>
        </w:rPr>
        <w:t xml:space="preserve"> </w:t>
      </w:r>
      <w:r w:rsidR="005414BD">
        <w:rPr>
          <w:rFonts w:ascii="Times New Roman" w:hAnsi="Times New Roman"/>
          <w:sz w:val="24"/>
          <w:szCs w:val="24"/>
        </w:rPr>
        <w:t>3</w:t>
      </w:r>
      <w:r w:rsidR="003A782C">
        <w:rPr>
          <w:rFonts w:ascii="Times New Roman" w:hAnsi="Times New Roman"/>
          <w:sz w:val="24"/>
          <w:szCs w:val="24"/>
        </w:rPr>
        <w:t xml:space="preserve"> </w:t>
      </w:r>
      <w:r w:rsidR="004757BB" w:rsidRPr="00271E1B">
        <w:rPr>
          <w:rFonts w:ascii="Times New Roman" w:hAnsi="Times New Roman"/>
          <w:sz w:val="24"/>
          <w:szCs w:val="24"/>
        </w:rPr>
        <w:t xml:space="preserve">de </w:t>
      </w:r>
      <w:r w:rsidR="0009563F">
        <w:rPr>
          <w:rFonts w:ascii="Times New Roman" w:hAnsi="Times New Roman"/>
          <w:sz w:val="24"/>
          <w:szCs w:val="24"/>
        </w:rPr>
        <w:t>dezem</w:t>
      </w:r>
      <w:r w:rsidR="003575BA">
        <w:rPr>
          <w:rFonts w:ascii="Times New Roman" w:hAnsi="Times New Roman"/>
          <w:sz w:val="24"/>
          <w:szCs w:val="24"/>
        </w:rPr>
        <w:t>bro</w:t>
      </w:r>
      <w:r w:rsidR="00E65709" w:rsidRPr="00271E1B">
        <w:rPr>
          <w:rFonts w:ascii="Times New Roman" w:hAnsi="Times New Roman"/>
          <w:sz w:val="24"/>
          <w:szCs w:val="24"/>
        </w:rPr>
        <w:t xml:space="preserve"> </w:t>
      </w:r>
      <w:r w:rsidR="004F5A1F" w:rsidRPr="00271E1B">
        <w:rPr>
          <w:rFonts w:ascii="Times New Roman" w:hAnsi="Times New Roman"/>
          <w:sz w:val="24"/>
          <w:szCs w:val="24"/>
        </w:rPr>
        <w:t>de 20</w:t>
      </w:r>
      <w:r w:rsidR="00642554" w:rsidRPr="00271E1B">
        <w:rPr>
          <w:rFonts w:ascii="Times New Roman" w:hAnsi="Times New Roman"/>
          <w:sz w:val="24"/>
          <w:szCs w:val="24"/>
        </w:rPr>
        <w:t>2</w:t>
      </w:r>
      <w:r w:rsidR="00271E1B">
        <w:rPr>
          <w:rFonts w:ascii="Times New Roman" w:hAnsi="Times New Roman"/>
          <w:sz w:val="24"/>
          <w:szCs w:val="24"/>
        </w:rPr>
        <w:t>1</w:t>
      </w:r>
      <w:r w:rsidR="004F5A1F" w:rsidRPr="00271E1B">
        <w:rPr>
          <w:rFonts w:ascii="Times New Roman" w:hAnsi="Times New Roman"/>
          <w:sz w:val="24"/>
          <w:szCs w:val="24"/>
        </w:rPr>
        <w:t>.</w:t>
      </w:r>
    </w:p>
    <w:p w:rsidR="00D90D1C" w:rsidRDefault="00D90D1C" w:rsidP="00500107">
      <w:pPr>
        <w:pStyle w:val="NormalWeb"/>
        <w:spacing w:before="0" w:beforeAutospacing="0" w:after="0" w:afterAutospacing="0"/>
        <w:jc w:val="center"/>
        <w:rPr>
          <w:rFonts w:ascii="TimesNewRomanPS" w:hAnsi="TimesNewRomanPS"/>
          <w:i/>
          <w:iCs/>
        </w:rPr>
      </w:pPr>
    </w:p>
    <w:p w:rsidR="00500107" w:rsidRDefault="00500107" w:rsidP="00500107">
      <w:pPr>
        <w:pStyle w:val="NormalWeb"/>
        <w:spacing w:before="0" w:beforeAutospacing="0" w:after="0" w:afterAutospacing="0"/>
        <w:jc w:val="center"/>
        <w:rPr>
          <w:rFonts w:ascii="TimesNewRomanPS" w:hAnsi="TimesNewRomanPS"/>
          <w:i/>
          <w:iCs/>
        </w:rPr>
      </w:pPr>
      <w:r>
        <w:rPr>
          <w:rFonts w:ascii="TimesNewRomanPS" w:hAnsi="TimesNewRomanPS"/>
          <w:i/>
          <w:iCs/>
        </w:rPr>
        <w:t>(assinado eletronicamente)</w:t>
      </w:r>
    </w:p>
    <w:p w:rsidR="00500107" w:rsidRDefault="00500107" w:rsidP="00500107">
      <w:pPr>
        <w:pStyle w:val="NormalWeb"/>
        <w:spacing w:before="0" w:beforeAutospacing="0" w:after="0" w:afterAutospacing="0"/>
        <w:jc w:val="center"/>
      </w:pPr>
      <w:r>
        <w:t>Maria Rosangela de Oliveira Andrade</w:t>
      </w:r>
    </w:p>
    <w:p w:rsidR="00500107" w:rsidRDefault="00500107" w:rsidP="00500107">
      <w:pPr>
        <w:pStyle w:val="PargrafodaLista"/>
        <w:ind w:left="0"/>
        <w:jc w:val="center"/>
        <w:rPr>
          <w:rFonts w:ascii="Times New Roman" w:hAnsi="Times New Roman"/>
          <w:sz w:val="24"/>
          <w:szCs w:val="24"/>
        </w:rPr>
      </w:pPr>
      <w:r>
        <w:rPr>
          <w:rFonts w:ascii="Times New Roman" w:hAnsi="Times New Roman"/>
          <w:sz w:val="24"/>
          <w:szCs w:val="24"/>
        </w:rPr>
        <w:t>Presidente da Comissão de Ética</w:t>
      </w:r>
    </w:p>
    <w:p w:rsidR="00D90D1C" w:rsidRDefault="00D90D1C" w:rsidP="00500107">
      <w:pPr>
        <w:pStyle w:val="NormalWeb"/>
        <w:spacing w:before="0" w:beforeAutospacing="0" w:after="0" w:afterAutospacing="0"/>
        <w:jc w:val="center"/>
        <w:rPr>
          <w:rFonts w:ascii="TimesNewRomanPS" w:hAnsi="TimesNewRomanPS"/>
          <w:i/>
          <w:iCs/>
        </w:rPr>
      </w:pPr>
    </w:p>
    <w:p w:rsidR="00500107" w:rsidRDefault="00500107" w:rsidP="00500107">
      <w:pPr>
        <w:pStyle w:val="NormalWeb"/>
        <w:spacing w:before="0" w:beforeAutospacing="0" w:after="0" w:afterAutospacing="0"/>
        <w:jc w:val="center"/>
      </w:pPr>
      <w:r>
        <w:rPr>
          <w:rFonts w:ascii="TimesNewRomanPS" w:hAnsi="TimesNewRomanPS"/>
          <w:i/>
          <w:iCs/>
        </w:rPr>
        <w:t>(assinado eletronicamente)</w:t>
      </w:r>
    </w:p>
    <w:p w:rsidR="00500107" w:rsidRDefault="00500107" w:rsidP="00500107">
      <w:pPr>
        <w:pStyle w:val="PargrafodaLista"/>
        <w:ind w:left="0"/>
        <w:jc w:val="center"/>
        <w:rPr>
          <w:rFonts w:ascii="Times New Roman" w:hAnsi="Times New Roman"/>
          <w:sz w:val="24"/>
          <w:szCs w:val="24"/>
        </w:rPr>
      </w:pPr>
      <w:r>
        <w:rPr>
          <w:rFonts w:ascii="Times New Roman" w:hAnsi="Times New Roman"/>
          <w:sz w:val="24"/>
          <w:szCs w:val="24"/>
        </w:rPr>
        <w:t>Rodrigo de Oliveira Fernandes</w:t>
      </w:r>
    </w:p>
    <w:p w:rsidR="00500107" w:rsidRDefault="00500107" w:rsidP="00500107">
      <w:pPr>
        <w:pStyle w:val="PargrafodaLista"/>
        <w:ind w:left="0"/>
        <w:jc w:val="center"/>
        <w:rPr>
          <w:rFonts w:ascii="Times New Roman" w:hAnsi="Times New Roman"/>
          <w:sz w:val="24"/>
          <w:szCs w:val="24"/>
        </w:rPr>
      </w:pPr>
      <w:r>
        <w:rPr>
          <w:rFonts w:ascii="Times New Roman" w:hAnsi="Times New Roman"/>
          <w:sz w:val="24"/>
          <w:szCs w:val="24"/>
        </w:rPr>
        <w:t>Membro da Comissão de Ética</w:t>
      </w:r>
    </w:p>
    <w:p w:rsidR="00D90D1C" w:rsidRDefault="00D90D1C" w:rsidP="00500107">
      <w:pPr>
        <w:pStyle w:val="NormalWeb"/>
        <w:spacing w:before="0" w:beforeAutospacing="0" w:after="0" w:afterAutospacing="0"/>
        <w:jc w:val="center"/>
        <w:rPr>
          <w:rFonts w:ascii="TimesNewRomanPS" w:hAnsi="TimesNewRomanPS"/>
          <w:i/>
          <w:iCs/>
        </w:rPr>
      </w:pPr>
    </w:p>
    <w:p w:rsidR="00500107" w:rsidRDefault="00500107" w:rsidP="00500107">
      <w:pPr>
        <w:pStyle w:val="NormalWeb"/>
        <w:spacing w:before="0" w:beforeAutospacing="0" w:after="0" w:afterAutospacing="0"/>
        <w:jc w:val="center"/>
      </w:pPr>
      <w:r>
        <w:rPr>
          <w:rFonts w:ascii="TimesNewRomanPS" w:hAnsi="TimesNewRomanPS"/>
          <w:i/>
          <w:iCs/>
        </w:rPr>
        <w:t>(assinado eletronicamente)</w:t>
      </w:r>
    </w:p>
    <w:p w:rsidR="009B2D02" w:rsidRDefault="009B2D02" w:rsidP="009B2D02">
      <w:pPr>
        <w:pStyle w:val="PargrafodaLista"/>
        <w:ind w:left="0"/>
        <w:jc w:val="center"/>
        <w:rPr>
          <w:rFonts w:ascii="Times New Roman" w:hAnsi="Times New Roman"/>
          <w:sz w:val="24"/>
          <w:szCs w:val="24"/>
        </w:rPr>
      </w:pPr>
      <w:r>
        <w:rPr>
          <w:rFonts w:ascii="Times New Roman" w:hAnsi="Times New Roman"/>
          <w:sz w:val="24"/>
          <w:szCs w:val="24"/>
        </w:rPr>
        <w:t>Marco Aurélio Pereira de Souza</w:t>
      </w:r>
    </w:p>
    <w:p w:rsidR="00003C18" w:rsidRDefault="00500107" w:rsidP="009F3D77">
      <w:pPr>
        <w:pStyle w:val="PargrafodaLista"/>
        <w:ind w:left="0"/>
        <w:jc w:val="center"/>
        <w:rPr>
          <w:rFonts w:ascii="Times New Roman" w:hAnsi="Times New Roman"/>
          <w:sz w:val="24"/>
          <w:szCs w:val="24"/>
        </w:rPr>
      </w:pPr>
      <w:r>
        <w:rPr>
          <w:rFonts w:ascii="Times New Roman" w:hAnsi="Times New Roman"/>
          <w:sz w:val="24"/>
          <w:szCs w:val="24"/>
        </w:rPr>
        <w:t>Membro da Comissão de Ética</w:t>
      </w:r>
    </w:p>
    <w:sectPr w:rsidR="00003C18" w:rsidSect="00710286">
      <w:headerReference w:type="default" r:id="rId8"/>
      <w:footerReference w:type="default" r:id="rId9"/>
      <w:pgSz w:w="12240" w:h="15840"/>
      <w:pgMar w:top="1634" w:right="900" w:bottom="1417"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3F44" w:rsidRDefault="00D23F44" w:rsidP="007B4170">
      <w:r>
        <w:separator/>
      </w:r>
    </w:p>
  </w:endnote>
  <w:endnote w:type="continuationSeparator" w:id="0">
    <w:p w:rsidR="00D23F44" w:rsidRDefault="00D23F44" w:rsidP="007B41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NewRomanPS">
    <w:altName w:val="Times New Roman"/>
    <w:panose1 w:val="00000000000000000000"/>
    <w:charset w:val="00"/>
    <w:family w:val="roman"/>
    <w:notTrueType/>
    <w:pitch w:val="default"/>
  </w:font>
  <w:font w:name="Arial Black">
    <w:altName w:val="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7DC6" w:rsidRDefault="00CD7DC6" w:rsidP="00BB5BD0">
    <w:pPr>
      <w:pStyle w:val="Rodap"/>
      <w:jc w:val="center"/>
    </w:pPr>
  </w:p>
  <w:p w:rsidR="00CD7DC6" w:rsidRDefault="00CD7DC6">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3F44" w:rsidRDefault="00D23F44" w:rsidP="007B4170">
      <w:r>
        <w:separator/>
      </w:r>
    </w:p>
  </w:footnote>
  <w:footnote w:type="continuationSeparator" w:id="0">
    <w:p w:rsidR="00D23F44" w:rsidRDefault="00D23F44" w:rsidP="007B4170">
      <w:r>
        <w:continuationSeparator/>
      </w:r>
    </w:p>
  </w:footnote>
  <w:footnote w:id="1">
    <w:p w:rsidR="00DF5A77" w:rsidRPr="00C17E43" w:rsidRDefault="00DF5A77" w:rsidP="00C17E43">
      <w:pPr>
        <w:tabs>
          <w:tab w:val="left" w:pos="1134"/>
        </w:tabs>
        <w:spacing w:before="60" w:after="60"/>
        <w:jc w:val="both"/>
        <w:rPr>
          <w:sz w:val="20"/>
          <w:szCs w:val="20"/>
        </w:rPr>
      </w:pPr>
      <w:r>
        <w:rPr>
          <w:rStyle w:val="Refdenotaderodap"/>
        </w:rPr>
        <w:footnoteRef/>
      </w:r>
      <w:r>
        <w:t xml:space="preserve"> </w:t>
      </w:r>
      <w:r w:rsidRPr="00750A36">
        <w:rPr>
          <w:sz w:val="20"/>
          <w:szCs w:val="20"/>
        </w:rPr>
        <w:t>“MANDADO DE SEGURANÇA. ATO PRATICADO PELO TRIBUNAL DE CONTAS DA UNIÃO QUE RECONHECE PRERROGATIVA CONSTITUCIONAL DE FISCALIZAÇÃO E CONTROLE SOBRE A ORDEM DOS ADVOGADOS DO BRASIL. ART. 70, PARÁGRAFO ÚNICO, DA CONSTITUIÇÃO FEDERAL. ANÁLISE DE PRECEDENTE DESTA SUPREMA CORTE QUE VEICULOU DIRETIVAS EM SENTIDO CONTRÁRIO. RECONHECIMENTO DE REPERCUSSÃO GERAL DA MATÉRIA NO ÂMBITO DO RE N. 1182189/BA. ELEMENTOS QUE ATESTAM A RELEVÂNCIA INERENTE DA QUESTÃO, ASSIM COMO A NECESSIDADE DE SE MANTEREM INALTERADAS AS BASES FÁTICO-JURÍDICAS DA CONTROVÉRSIA ATÉ QUE O PLENÁRIO DESTA SUPREMA CORTE VENHA A ANALISÁ-LA DE MODO EXAURIENTE. PRESENÇA DOS REQUISITOS NECESSÁRIOS À CONCESSÃO DE LIMINAR. LIMINAR DEFERIDA.”</w:t>
      </w:r>
      <w:r>
        <w:rPr>
          <w:sz w:val="20"/>
          <w:szCs w:val="20"/>
        </w:rPr>
        <w:t xml:space="preserve"> (</w:t>
      </w:r>
      <w:r w:rsidRPr="00750A36">
        <w:rPr>
          <w:sz w:val="20"/>
          <w:szCs w:val="20"/>
        </w:rPr>
        <w:t>peça 39 do TC 015.720/2018-7</w:t>
      </w:r>
      <w:r>
        <w:rPr>
          <w:sz w:val="20"/>
          <w:szCs w:val="20"/>
        </w:rPr>
        <w:t>)</w:t>
      </w:r>
    </w:p>
  </w:footnote>
  <w:footnote w:id="2">
    <w:p w:rsidR="009B57A8" w:rsidRDefault="009B57A8" w:rsidP="00C17E43">
      <w:pPr>
        <w:tabs>
          <w:tab w:val="left" w:pos="1134"/>
        </w:tabs>
        <w:spacing w:before="60" w:after="60"/>
        <w:jc w:val="both"/>
      </w:pPr>
      <w:r>
        <w:rPr>
          <w:rStyle w:val="Refdenotaderodap"/>
        </w:rPr>
        <w:footnoteRef/>
      </w:r>
      <w:r>
        <w:t xml:space="preserve"> </w:t>
      </w:r>
      <w:r w:rsidRPr="009B57A8">
        <w:rPr>
          <w:sz w:val="20"/>
          <w:szCs w:val="20"/>
        </w:rPr>
        <w:t>&lt;</w:t>
      </w:r>
      <w:hyperlink r:id="rId1" w:history="1">
        <w:r w:rsidR="00016572" w:rsidRPr="00DD31DB">
          <w:rPr>
            <w:rStyle w:val="Hyperlink"/>
            <w:sz w:val="20"/>
            <w:szCs w:val="20"/>
          </w:rPr>
          <w:t>https://oabdf.org.br/wp-content/uplo</w:t>
        </w:r>
        <w:r w:rsidR="00016572" w:rsidRPr="00DD31DB">
          <w:rPr>
            <w:rStyle w:val="Hyperlink"/>
            <w:sz w:val="20"/>
            <w:szCs w:val="20"/>
          </w:rPr>
          <w:t>a</w:t>
        </w:r>
        <w:r w:rsidR="00016572" w:rsidRPr="00DD31DB">
          <w:rPr>
            <w:rStyle w:val="Hyperlink"/>
            <w:sz w:val="20"/>
            <w:szCs w:val="20"/>
          </w:rPr>
          <w:t>ds/2018/07/Novo-Regimento-Interno-OAB-2013.pdf</w:t>
        </w:r>
      </w:hyperlink>
      <w:r w:rsidRPr="009B57A8">
        <w:rPr>
          <w:sz w:val="20"/>
          <w:szCs w:val="20"/>
        </w:rPr>
        <w:t xml:space="preserve">&gt; </w:t>
      </w:r>
      <w:r w:rsidR="00C9660E">
        <w:rPr>
          <w:sz w:val="20"/>
          <w:szCs w:val="20"/>
        </w:rPr>
        <w:t>(</w:t>
      </w:r>
      <w:r w:rsidRPr="009B57A8">
        <w:rPr>
          <w:sz w:val="20"/>
          <w:szCs w:val="20"/>
        </w:rPr>
        <w:t xml:space="preserve">consultado em </w:t>
      </w:r>
      <w:r w:rsidR="009B2D02">
        <w:rPr>
          <w:sz w:val="20"/>
          <w:szCs w:val="20"/>
        </w:rPr>
        <w:t>3</w:t>
      </w:r>
      <w:r w:rsidRPr="009B57A8">
        <w:rPr>
          <w:sz w:val="20"/>
          <w:szCs w:val="20"/>
        </w:rPr>
        <w:t>/</w:t>
      </w:r>
      <w:r w:rsidR="009B2D02">
        <w:rPr>
          <w:sz w:val="20"/>
          <w:szCs w:val="20"/>
        </w:rPr>
        <w:t>11</w:t>
      </w:r>
      <w:r w:rsidRPr="009B57A8">
        <w:rPr>
          <w:sz w:val="20"/>
          <w:szCs w:val="20"/>
        </w:rPr>
        <w:t>/2021</w:t>
      </w:r>
      <w:r w:rsidR="00C9660E">
        <w:rPr>
          <w:sz w:val="20"/>
          <w:szCs w:val="20"/>
        </w:rPr>
        <w:t>)</w:t>
      </w:r>
    </w:p>
  </w:footnote>
  <w:footnote w:id="3">
    <w:p w:rsidR="00002610" w:rsidRDefault="00002610" w:rsidP="00C17E43">
      <w:pPr>
        <w:pStyle w:val="Textodenotaderodap"/>
        <w:spacing w:before="60" w:after="60"/>
      </w:pPr>
      <w:r>
        <w:rPr>
          <w:rStyle w:val="Refdenotaderodap"/>
        </w:rPr>
        <w:footnoteRef/>
      </w:r>
      <w:r w:rsidR="00222509">
        <w:t>&lt;</w:t>
      </w:r>
      <w:hyperlink r:id="rId2" w:history="1">
        <w:r w:rsidR="00222509" w:rsidRPr="00DD31DB">
          <w:rPr>
            <w:rStyle w:val="Hyperlink"/>
          </w:rPr>
          <w:t>http://www.stf.jus.br/portal/legislacaoAnotadaAdiAd</w:t>
        </w:r>
        <w:r w:rsidR="00222509" w:rsidRPr="00DD31DB">
          <w:rPr>
            <w:rStyle w:val="Hyperlink"/>
          </w:rPr>
          <w:t>c</w:t>
        </w:r>
        <w:r w:rsidR="00222509" w:rsidRPr="00DD31DB">
          <w:rPr>
            <w:rStyle w:val="Hyperlink"/>
          </w:rPr>
          <w:t>Adpf/verLegislacao.asp?lei=375</w:t>
        </w:r>
      </w:hyperlink>
      <w:r w:rsidR="00222509">
        <w:t xml:space="preserve">&gt; </w:t>
      </w:r>
      <w:r>
        <w:t>(consultado em 26/5/2021)</w:t>
      </w:r>
    </w:p>
  </w:footnote>
  <w:footnote w:id="4">
    <w:p w:rsidR="00F126FC" w:rsidRDefault="00F126FC" w:rsidP="00C17E43">
      <w:pPr>
        <w:pStyle w:val="Textodenotaderodap"/>
        <w:spacing w:before="60" w:after="60"/>
      </w:pPr>
      <w:r>
        <w:rPr>
          <w:rStyle w:val="Refdenotaderodap"/>
        </w:rPr>
        <w:footnoteRef/>
      </w:r>
      <w:r>
        <w:t xml:space="preserve"> Decisão consultada, em 25/5/2021, no endereço eletrônico da Auditar</w:t>
      </w:r>
      <w:r w:rsidR="00222509">
        <w:t>:</w:t>
      </w:r>
      <w:r w:rsidR="00016572">
        <w:t xml:space="preserve"> &lt;</w:t>
      </w:r>
      <w:hyperlink r:id="rId3" w:history="1">
        <w:r w:rsidR="00016572" w:rsidRPr="00DD31DB">
          <w:rPr>
            <w:rStyle w:val="Hyperlink"/>
          </w:rPr>
          <w:t>https://www.auditar.org.br/public/web_disk/acordo_tcu_auditar_/acordaooabtcu.pdf</w:t>
        </w:r>
      </w:hyperlink>
      <w:r>
        <w:t>&gt;</w:t>
      </w:r>
    </w:p>
  </w:footnote>
  <w:footnote w:id="5">
    <w:p w:rsidR="003C249F" w:rsidRPr="00003C18" w:rsidRDefault="003C249F" w:rsidP="00C17E43">
      <w:pPr>
        <w:pStyle w:val="PargrafodaLista"/>
        <w:spacing w:before="60" w:after="60" w:line="240" w:lineRule="auto"/>
        <w:ind w:left="0"/>
        <w:rPr>
          <w:rFonts w:ascii="Times New Roman" w:hAnsi="Times New Roman"/>
          <w:sz w:val="20"/>
          <w:szCs w:val="20"/>
        </w:rPr>
      </w:pPr>
      <w:r w:rsidRPr="00003C18">
        <w:rPr>
          <w:rStyle w:val="Refdenotaderodap"/>
          <w:rFonts w:ascii="Times New Roman" w:hAnsi="Times New Roman"/>
          <w:sz w:val="20"/>
          <w:szCs w:val="20"/>
        </w:rPr>
        <w:footnoteRef/>
      </w:r>
      <w:r w:rsidR="00003C18" w:rsidRPr="00003C18">
        <w:rPr>
          <w:rFonts w:ascii="Times New Roman" w:hAnsi="Times New Roman"/>
          <w:sz w:val="20"/>
          <w:szCs w:val="20"/>
        </w:rPr>
        <w:t xml:space="preserve"> </w:t>
      </w:r>
      <w:r w:rsidRPr="00003C18">
        <w:rPr>
          <w:rFonts w:ascii="Times New Roman" w:hAnsi="Times New Roman"/>
          <w:sz w:val="20"/>
          <w:szCs w:val="20"/>
        </w:rPr>
        <w:t>Disponível no endereço &lt;</w:t>
      </w:r>
      <w:hyperlink r:id="rId4" w:history="1">
        <w:r w:rsidR="00B83CFD" w:rsidRPr="00003C18">
          <w:rPr>
            <w:rStyle w:val="Hyperlink"/>
            <w:rFonts w:ascii="Times New Roman" w:hAnsi="Times New Roman"/>
            <w:sz w:val="20"/>
            <w:szCs w:val="20"/>
          </w:rPr>
          <w:t>https://www.oab.org.</w:t>
        </w:r>
        <w:r w:rsidR="00B83CFD" w:rsidRPr="00003C18">
          <w:rPr>
            <w:rStyle w:val="Hyperlink"/>
            <w:rFonts w:ascii="Times New Roman" w:hAnsi="Times New Roman"/>
            <w:sz w:val="20"/>
            <w:szCs w:val="20"/>
          </w:rPr>
          <w:t>b</w:t>
        </w:r>
        <w:r w:rsidR="00B83CFD" w:rsidRPr="00003C18">
          <w:rPr>
            <w:rStyle w:val="Hyperlink"/>
            <w:rFonts w:ascii="Times New Roman" w:hAnsi="Times New Roman"/>
            <w:sz w:val="20"/>
            <w:szCs w:val="20"/>
          </w:rPr>
          <w:t>r/p</w:t>
        </w:r>
        <w:r w:rsidR="00B83CFD" w:rsidRPr="00003C18">
          <w:rPr>
            <w:rStyle w:val="Hyperlink"/>
            <w:rFonts w:ascii="Times New Roman" w:hAnsi="Times New Roman"/>
            <w:sz w:val="20"/>
            <w:szCs w:val="20"/>
          </w:rPr>
          <w:t>u</w:t>
        </w:r>
        <w:r w:rsidR="00B83CFD" w:rsidRPr="00003C18">
          <w:rPr>
            <w:rStyle w:val="Hyperlink"/>
            <w:rFonts w:ascii="Times New Roman" w:hAnsi="Times New Roman"/>
            <w:sz w:val="20"/>
            <w:szCs w:val="20"/>
          </w:rPr>
          <w:t>b</w:t>
        </w:r>
        <w:r w:rsidR="00B83CFD" w:rsidRPr="00003C18">
          <w:rPr>
            <w:rStyle w:val="Hyperlink"/>
            <w:rFonts w:ascii="Times New Roman" w:hAnsi="Times New Roman"/>
            <w:sz w:val="20"/>
            <w:szCs w:val="20"/>
          </w:rPr>
          <w:t>licacoes/AbrirPDF?LivroId=0000004085</w:t>
        </w:r>
      </w:hyperlink>
      <w:r w:rsidRPr="00003C18">
        <w:rPr>
          <w:rFonts w:ascii="Times New Roman" w:hAnsi="Times New Roman"/>
          <w:sz w:val="20"/>
          <w:szCs w:val="20"/>
        </w:rPr>
        <w:t>&gt; (consulta em 26/5/2021)</w:t>
      </w:r>
      <w:r w:rsidR="00003C18" w:rsidRPr="00003C18">
        <w:rPr>
          <w:rFonts w:ascii="Times New Roman" w:hAnsi="Times New Roman"/>
          <w:sz w:val="20"/>
          <w:szCs w:val="20"/>
        </w:rPr>
        <w:t>:</w:t>
      </w:r>
    </w:p>
    <w:p w:rsidR="003C249F" w:rsidRPr="00003C18" w:rsidRDefault="00003C18" w:rsidP="00C17E43">
      <w:pPr>
        <w:pStyle w:val="PargrafodaLista"/>
        <w:spacing w:before="60" w:after="60" w:line="240" w:lineRule="auto"/>
        <w:ind w:left="0"/>
        <w:jc w:val="both"/>
        <w:rPr>
          <w:rFonts w:ascii="Times New Roman" w:hAnsi="Times New Roman"/>
          <w:sz w:val="20"/>
          <w:szCs w:val="20"/>
        </w:rPr>
      </w:pPr>
      <w:r w:rsidRPr="00003C18">
        <w:rPr>
          <w:rFonts w:ascii="Times New Roman" w:hAnsi="Times New Roman"/>
          <w:sz w:val="20"/>
          <w:szCs w:val="20"/>
        </w:rPr>
        <w:t>“Art. 32. Não poderá o advogado, enquanto exercer cargos ou funções em órgãos da OAB ou representar a classe junto a quaisquer instituições, órgãos ou comissões, públicos ou privados, firmar contrato oneroso de prestação de serviços ou fornecimento de produtos com tais entidades nem adquirir bens imóveis ou móveis infungíveis de quaisquer órgãos da OAB, ou a estes aliená-los.”</w:t>
      </w:r>
    </w:p>
  </w:footnote>
  <w:footnote w:id="6">
    <w:p w:rsidR="00E3356F" w:rsidRDefault="00E3356F" w:rsidP="00C17E43">
      <w:pPr>
        <w:pStyle w:val="Textodenotaderodap"/>
        <w:spacing w:before="60" w:after="60"/>
      </w:pPr>
      <w:r w:rsidRPr="00003C18">
        <w:rPr>
          <w:rStyle w:val="Refdenotaderodap"/>
        </w:rPr>
        <w:footnoteRef/>
      </w:r>
      <w:r w:rsidRPr="00003C18">
        <w:t xml:space="preserve"> Disponível no endereço eletrônico (consulta em 25/5/2021): &lt;https://portal.tcu.gov.br/data/files/A0/E0/EA/C7/21A1F6107AD96FE6F18818A8/Referencial_combate_fraude_corrupcao_2_edicao.pdf&gt; </w:t>
      </w:r>
    </w:p>
  </w:footnote>
  <w:footnote w:id="7">
    <w:p w:rsidR="00877FB0" w:rsidRPr="00003C18" w:rsidRDefault="00877FB0" w:rsidP="00C17E43">
      <w:pPr>
        <w:pStyle w:val="Textodenotaderodap"/>
        <w:spacing w:before="60" w:after="60"/>
      </w:pPr>
      <w:r w:rsidRPr="00003C18">
        <w:rPr>
          <w:rStyle w:val="Refdenotaderodap"/>
        </w:rPr>
        <w:footnoteRef/>
      </w:r>
      <w:r w:rsidRPr="00003C18">
        <w:t xml:space="preserve"> Item 1, alínea “e”, da Resolução nº 8, de 25/9/2003, da Comissão de Ética Pública da Presidência da República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53F3" w:rsidRDefault="00E27E9F" w:rsidP="002053F3">
    <w:pPr>
      <w:pStyle w:val="Ttulo"/>
      <w:keepLines/>
      <w:tabs>
        <w:tab w:val="left" w:pos="851"/>
        <w:tab w:val="left" w:pos="5025"/>
      </w:tabs>
      <w:jc w:val="both"/>
      <w:outlineLvl w:val="0"/>
      <w:rPr>
        <w:rFonts w:ascii="Times New Roman" w:hAnsi="Times New Roman"/>
        <w:b/>
        <w:sz w:val="16"/>
      </w:rPr>
    </w:pPr>
    <w:r w:rsidRPr="002053F3">
      <w:rPr>
        <w:rFonts w:ascii="Arial Black" w:hAnsi="Arial Black"/>
        <w:noProof/>
        <w:sz w:val="16"/>
      </w:rPr>
      <w:object w:dxaOrig="3180" w:dyaOrig="24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4.85pt;margin-top:.05pt;width:48pt;height:38pt;z-index:251657728;mso-wrap-edited:f" o:allowincell="f">
          <v:imagedata r:id="rId1" o:title=""/>
        </v:shape>
        <o:OLEObject Type="Embed" ProgID="PBrush" ShapeID="_x0000_s2049" DrawAspect="Content" ObjectID="_1702902190" r:id="rId2"/>
      </w:object>
    </w:r>
    <w:r w:rsidR="002053F3" w:rsidRPr="002053F3">
      <w:rPr>
        <w:rFonts w:ascii="Times New Roman" w:hAnsi="Times New Roman"/>
        <w:b/>
        <w:sz w:val="16"/>
      </w:rPr>
      <w:tab/>
    </w:r>
  </w:p>
  <w:p w:rsidR="002053F3" w:rsidRPr="002053F3" w:rsidRDefault="002053F3" w:rsidP="002053F3">
    <w:pPr>
      <w:pStyle w:val="Ttulo"/>
      <w:keepLines/>
      <w:tabs>
        <w:tab w:val="left" w:pos="851"/>
        <w:tab w:val="left" w:pos="5025"/>
      </w:tabs>
      <w:jc w:val="both"/>
      <w:outlineLvl w:val="0"/>
      <w:rPr>
        <w:rFonts w:ascii="Times New Roman" w:hAnsi="Times New Roman"/>
        <w:b/>
        <w:sz w:val="16"/>
      </w:rPr>
    </w:pPr>
    <w:r>
      <w:rPr>
        <w:rFonts w:ascii="Times New Roman" w:hAnsi="Times New Roman"/>
        <w:b/>
        <w:sz w:val="16"/>
      </w:rPr>
      <w:tab/>
    </w:r>
    <w:r w:rsidRPr="002053F3">
      <w:rPr>
        <w:rFonts w:ascii="Times New Roman" w:hAnsi="Times New Roman"/>
        <w:b/>
        <w:sz w:val="16"/>
      </w:rPr>
      <w:t>TRIBUNAL DE CONTAS DA UNIÃO</w:t>
    </w:r>
  </w:p>
  <w:p w:rsidR="002053F3" w:rsidRPr="002053F3" w:rsidRDefault="002053F3" w:rsidP="002053F3">
    <w:pPr>
      <w:pStyle w:val="Ttulo"/>
      <w:keepLines/>
      <w:tabs>
        <w:tab w:val="left" w:pos="851"/>
        <w:tab w:val="left" w:pos="5025"/>
      </w:tabs>
      <w:jc w:val="both"/>
      <w:outlineLvl w:val="0"/>
      <w:rPr>
        <w:sz w:val="16"/>
      </w:rPr>
    </w:pPr>
    <w:r w:rsidRPr="002053F3">
      <w:rPr>
        <w:rFonts w:ascii="Times New Roman" w:hAnsi="Times New Roman"/>
        <w:b/>
        <w:sz w:val="16"/>
      </w:rPr>
      <w:tab/>
    </w:r>
    <w:r w:rsidR="00710286">
      <w:rPr>
        <w:rFonts w:ascii="Times New Roman" w:hAnsi="Times New Roman"/>
        <w:b/>
        <w:sz w:val="16"/>
      </w:rPr>
      <w:t xml:space="preserve">Comissão de Ética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378D5"/>
    <w:multiLevelType w:val="hybridMultilevel"/>
    <w:tmpl w:val="964C783E"/>
    <w:lvl w:ilvl="0" w:tplc="B088BD22">
      <w:start w:val="1"/>
      <w:numFmt w:val="upperRoman"/>
      <w:lvlText w:val="%1"/>
      <w:lvlJc w:val="left"/>
      <w:pPr>
        <w:ind w:left="148" w:hanging="126"/>
      </w:pPr>
      <w:rPr>
        <w:rFonts w:ascii="Times New Roman" w:eastAsia="Times New Roman" w:hAnsi="Times New Roman" w:cs="Times New Roman" w:hint="default"/>
        <w:color w:val="231F20"/>
        <w:w w:val="100"/>
        <w:sz w:val="20"/>
        <w:szCs w:val="20"/>
        <w:lang w:val="pt-PT" w:eastAsia="pt-PT" w:bidi="pt-PT"/>
      </w:rPr>
    </w:lvl>
    <w:lvl w:ilvl="1" w:tplc="0C4E773E">
      <w:start w:val="1"/>
      <w:numFmt w:val="upperRoman"/>
      <w:lvlText w:val="%2"/>
      <w:lvlJc w:val="left"/>
      <w:pPr>
        <w:ind w:left="432" w:hanging="142"/>
      </w:pPr>
      <w:rPr>
        <w:rFonts w:ascii="Times New Roman" w:eastAsia="Times New Roman" w:hAnsi="Times New Roman" w:cs="Times New Roman" w:hint="default"/>
        <w:color w:val="231F20"/>
        <w:w w:val="100"/>
        <w:sz w:val="20"/>
        <w:szCs w:val="20"/>
        <w:lang w:val="pt-PT" w:eastAsia="pt-PT" w:bidi="pt-PT"/>
      </w:rPr>
    </w:lvl>
    <w:lvl w:ilvl="2" w:tplc="6436EFD2">
      <w:numFmt w:val="bullet"/>
      <w:lvlText w:val="•"/>
      <w:lvlJc w:val="left"/>
      <w:pPr>
        <w:ind w:left="1213" w:hanging="142"/>
      </w:pPr>
      <w:rPr>
        <w:rFonts w:hint="default"/>
        <w:lang w:val="pt-PT" w:eastAsia="pt-PT" w:bidi="pt-PT"/>
      </w:rPr>
    </w:lvl>
    <w:lvl w:ilvl="3" w:tplc="D6785CEA">
      <w:numFmt w:val="bullet"/>
      <w:lvlText w:val="•"/>
      <w:lvlJc w:val="left"/>
      <w:pPr>
        <w:ind w:left="1986" w:hanging="142"/>
      </w:pPr>
      <w:rPr>
        <w:rFonts w:hint="default"/>
        <w:lang w:val="pt-PT" w:eastAsia="pt-PT" w:bidi="pt-PT"/>
      </w:rPr>
    </w:lvl>
    <w:lvl w:ilvl="4" w:tplc="0E981E1C">
      <w:numFmt w:val="bullet"/>
      <w:lvlText w:val="•"/>
      <w:lvlJc w:val="left"/>
      <w:pPr>
        <w:ind w:left="2760" w:hanging="142"/>
      </w:pPr>
      <w:rPr>
        <w:rFonts w:hint="default"/>
        <w:lang w:val="pt-PT" w:eastAsia="pt-PT" w:bidi="pt-PT"/>
      </w:rPr>
    </w:lvl>
    <w:lvl w:ilvl="5" w:tplc="71F0A0C6">
      <w:numFmt w:val="bullet"/>
      <w:lvlText w:val="•"/>
      <w:lvlJc w:val="left"/>
      <w:pPr>
        <w:ind w:left="3533" w:hanging="142"/>
      </w:pPr>
      <w:rPr>
        <w:rFonts w:hint="default"/>
        <w:lang w:val="pt-PT" w:eastAsia="pt-PT" w:bidi="pt-PT"/>
      </w:rPr>
    </w:lvl>
    <w:lvl w:ilvl="6" w:tplc="6C927850">
      <w:numFmt w:val="bullet"/>
      <w:lvlText w:val="•"/>
      <w:lvlJc w:val="left"/>
      <w:pPr>
        <w:ind w:left="4306" w:hanging="142"/>
      </w:pPr>
      <w:rPr>
        <w:rFonts w:hint="default"/>
        <w:lang w:val="pt-PT" w:eastAsia="pt-PT" w:bidi="pt-PT"/>
      </w:rPr>
    </w:lvl>
    <w:lvl w:ilvl="7" w:tplc="34EA5714">
      <w:numFmt w:val="bullet"/>
      <w:lvlText w:val="•"/>
      <w:lvlJc w:val="left"/>
      <w:pPr>
        <w:ind w:left="5080" w:hanging="142"/>
      </w:pPr>
      <w:rPr>
        <w:rFonts w:hint="default"/>
        <w:lang w:val="pt-PT" w:eastAsia="pt-PT" w:bidi="pt-PT"/>
      </w:rPr>
    </w:lvl>
    <w:lvl w:ilvl="8" w:tplc="342E3F52">
      <w:numFmt w:val="bullet"/>
      <w:lvlText w:val="•"/>
      <w:lvlJc w:val="left"/>
      <w:pPr>
        <w:ind w:left="5853" w:hanging="142"/>
      </w:pPr>
      <w:rPr>
        <w:rFonts w:hint="default"/>
        <w:lang w:val="pt-PT" w:eastAsia="pt-PT" w:bidi="pt-PT"/>
      </w:rPr>
    </w:lvl>
  </w:abstractNum>
  <w:abstractNum w:abstractNumId="1" w15:restartNumberingAfterBreak="0">
    <w:nsid w:val="14164B34"/>
    <w:multiLevelType w:val="hybridMultilevel"/>
    <w:tmpl w:val="8F0A1706"/>
    <w:lvl w:ilvl="0" w:tplc="B088BD22">
      <w:start w:val="1"/>
      <w:numFmt w:val="upperRoman"/>
      <w:lvlText w:val="%1"/>
      <w:lvlJc w:val="left"/>
      <w:pPr>
        <w:ind w:left="148" w:hanging="126"/>
      </w:pPr>
      <w:rPr>
        <w:rFonts w:ascii="Times New Roman" w:eastAsia="Times New Roman" w:hAnsi="Times New Roman" w:cs="Times New Roman" w:hint="default"/>
        <w:color w:val="231F20"/>
        <w:w w:val="100"/>
        <w:sz w:val="20"/>
        <w:szCs w:val="20"/>
        <w:lang w:val="pt-PT" w:eastAsia="pt-PT" w:bidi="pt-PT"/>
      </w:rPr>
    </w:lvl>
    <w:lvl w:ilvl="1" w:tplc="52944744">
      <w:start w:val="1"/>
      <w:numFmt w:val="upperRoman"/>
      <w:lvlText w:val="%2"/>
      <w:lvlJc w:val="left"/>
      <w:pPr>
        <w:ind w:left="432" w:hanging="142"/>
      </w:pPr>
      <w:rPr>
        <w:rFonts w:ascii="Times New Roman" w:eastAsia="Times New Roman" w:hAnsi="Times New Roman" w:cs="Times New Roman" w:hint="default"/>
        <w:color w:val="231F20"/>
        <w:w w:val="100"/>
        <w:sz w:val="20"/>
        <w:szCs w:val="20"/>
        <w:lang w:val="pt-PT" w:eastAsia="pt-PT" w:bidi="pt-PT"/>
      </w:rPr>
    </w:lvl>
    <w:lvl w:ilvl="2" w:tplc="6436EFD2">
      <w:numFmt w:val="bullet"/>
      <w:lvlText w:val="•"/>
      <w:lvlJc w:val="left"/>
      <w:pPr>
        <w:ind w:left="1213" w:hanging="142"/>
      </w:pPr>
      <w:rPr>
        <w:rFonts w:hint="default"/>
        <w:lang w:val="pt-PT" w:eastAsia="pt-PT" w:bidi="pt-PT"/>
      </w:rPr>
    </w:lvl>
    <w:lvl w:ilvl="3" w:tplc="D6785CEA">
      <w:numFmt w:val="bullet"/>
      <w:lvlText w:val="•"/>
      <w:lvlJc w:val="left"/>
      <w:pPr>
        <w:ind w:left="1986" w:hanging="142"/>
      </w:pPr>
      <w:rPr>
        <w:rFonts w:hint="default"/>
        <w:lang w:val="pt-PT" w:eastAsia="pt-PT" w:bidi="pt-PT"/>
      </w:rPr>
    </w:lvl>
    <w:lvl w:ilvl="4" w:tplc="0E981E1C">
      <w:numFmt w:val="bullet"/>
      <w:lvlText w:val="•"/>
      <w:lvlJc w:val="left"/>
      <w:pPr>
        <w:ind w:left="2760" w:hanging="142"/>
      </w:pPr>
      <w:rPr>
        <w:rFonts w:hint="default"/>
        <w:lang w:val="pt-PT" w:eastAsia="pt-PT" w:bidi="pt-PT"/>
      </w:rPr>
    </w:lvl>
    <w:lvl w:ilvl="5" w:tplc="71F0A0C6">
      <w:numFmt w:val="bullet"/>
      <w:lvlText w:val="•"/>
      <w:lvlJc w:val="left"/>
      <w:pPr>
        <w:ind w:left="3533" w:hanging="142"/>
      </w:pPr>
      <w:rPr>
        <w:rFonts w:hint="default"/>
        <w:lang w:val="pt-PT" w:eastAsia="pt-PT" w:bidi="pt-PT"/>
      </w:rPr>
    </w:lvl>
    <w:lvl w:ilvl="6" w:tplc="6C927850">
      <w:numFmt w:val="bullet"/>
      <w:lvlText w:val="•"/>
      <w:lvlJc w:val="left"/>
      <w:pPr>
        <w:ind w:left="4306" w:hanging="142"/>
      </w:pPr>
      <w:rPr>
        <w:rFonts w:hint="default"/>
        <w:lang w:val="pt-PT" w:eastAsia="pt-PT" w:bidi="pt-PT"/>
      </w:rPr>
    </w:lvl>
    <w:lvl w:ilvl="7" w:tplc="34EA5714">
      <w:numFmt w:val="bullet"/>
      <w:lvlText w:val="•"/>
      <w:lvlJc w:val="left"/>
      <w:pPr>
        <w:ind w:left="5080" w:hanging="142"/>
      </w:pPr>
      <w:rPr>
        <w:rFonts w:hint="default"/>
        <w:lang w:val="pt-PT" w:eastAsia="pt-PT" w:bidi="pt-PT"/>
      </w:rPr>
    </w:lvl>
    <w:lvl w:ilvl="8" w:tplc="342E3F52">
      <w:numFmt w:val="bullet"/>
      <w:lvlText w:val="•"/>
      <w:lvlJc w:val="left"/>
      <w:pPr>
        <w:ind w:left="5853" w:hanging="142"/>
      </w:pPr>
      <w:rPr>
        <w:rFonts w:hint="default"/>
        <w:lang w:val="pt-PT" w:eastAsia="pt-PT" w:bidi="pt-PT"/>
      </w:rPr>
    </w:lvl>
  </w:abstractNum>
  <w:abstractNum w:abstractNumId="2" w15:restartNumberingAfterBreak="0">
    <w:nsid w:val="18216D43"/>
    <w:multiLevelType w:val="multilevel"/>
    <w:tmpl w:val="E926D7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90D3A12"/>
    <w:multiLevelType w:val="hybridMultilevel"/>
    <w:tmpl w:val="44001874"/>
    <w:lvl w:ilvl="0" w:tplc="3A0AF7BA">
      <w:start w:val="1"/>
      <w:numFmt w:val="decimal"/>
      <w:lvlText w:val="%1)"/>
      <w:lvlJc w:val="left"/>
      <w:pPr>
        <w:ind w:left="3621" w:hanging="360"/>
      </w:pPr>
      <w:rPr>
        <w:rFonts w:hint="default"/>
      </w:rPr>
    </w:lvl>
    <w:lvl w:ilvl="1" w:tplc="04160019" w:tentative="1">
      <w:start w:val="1"/>
      <w:numFmt w:val="lowerLetter"/>
      <w:lvlText w:val="%2."/>
      <w:lvlJc w:val="left"/>
      <w:pPr>
        <w:ind w:left="2210" w:hanging="360"/>
      </w:pPr>
    </w:lvl>
    <w:lvl w:ilvl="2" w:tplc="0416001B" w:tentative="1">
      <w:start w:val="1"/>
      <w:numFmt w:val="lowerRoman"/>
      <w:lvlText w:val="%3."/>
      <w:lvlJc w:val="right"/>
      <w:pPr>
        <w:ind w:left="2930" w:hanging="180"/>
      </w:pPr>
    </w:lvl>
    <w:lvl w:ilvl="3" w:tplc="0416000F" w:tentative="1">
      <w:start w:val="1"/>
      <w:numFmt w:val="decimal"/>
      <w:lvlText w:val="%4."/>
      <w:lvlJc w:val="left"/>
      <w:pPr>
        <w:ind w:left="3650" w:hanging="360"/>
      </w:pPr>
    </w:lvl>
    <w:lvl w:ilvl="4" w:tplc="04160019" w:tentative="1">
      <w:start w:val="1"/>
      <w:numFmt w:val="lowerLetter"/>
      <w:lvlText w:val="%5."/>
      <w:lvlJc w:val="left"/>
      <w:pPr>
        <w:ind w:left="4370" w:hanging="360"/>
      </w:pPr>
    </w:lvl>
    <w:lvl w:ilvl="5" w:tplc="0416001B" w:tentative="1">
      <w:start w:val="1"/>
      <w:numFmt w:val="lowerRoman"/>
      <w:lvlText w:val="%6."/>
      <w:lvlJc w:val="right"/>
      <w:pPr>
        <w:ind w:left="5090" w:hanging="180"/>
      </w:pPr>
    </w:lvl>
    <w:lvl w:ilvl="6" w:tplc="0416000F" w:tentative="1">
      <w:start w:val="1"/>
      <w:numFmt w:val="decimal"/>
      <w:lvlText w:val="%7."/>
      <w:lvlJc w:val="left"/>
      <w:pPr>
        <w:ind w:left="5810" w:hanging="360"/>
      </w:pPr>
    </w:lvl>
    <w:lvl w:ilvl="7" w:tplc="04160019" w:tentative="1">
      <w:start w:val="1"/>
      <w:numFmt w:val="lowerLetter"/>
      <w:lvlText w:val="%8."/>
      <w:lvlJc w:val="left"/>
      <w:pPr>
        <w:ind w:left="6530" w:hanging="360"/>
      </w:pPr>
    </w:lvl>
    <w:lvl w:ilvl="8" w:tplc="0416001B" w:tentative="1">
      <w:start w:val="1"/>
      <w:numFmt w:val="lowerRoman"/>
      <w:lvlText w:val="%9."/>
      <w:lvlJc w:val="right"/>
      <w:pPr>
        <w:ind w:left="7250" w:hanging="180"/>
      </w:pPr>
    </w:lvl>
  </w:abstractNum>
  <w:abstractNum w:abstractNumId="4" w15:restartNumberingAfterBreak="0">
    <w:nsid w:val="23954C88"/>
    <w:multiLevelType w:val="hybridMultilevel"/>
    <w:tmpl w:val="CE5AC8BA"/>
    <w:lvl w:ilvl="0" w:tplc="4C4EE174">
      <w:start w:val="1"/>
      <w:numFmt w:val="decimal"/>
      <w:lvlText w:val="%1)"/>
      <w:lvlJc w:val="left"/>
      <w:pPr>
        <w:ind w:left="1490" w:hanging="360"/>
      </w:pPr>
      <w:rPr>
        <w:rFonts w:hint="default"/>
      </w:rPr>
    </w:lvl>
    <w:lvl w:ilvl="1" w:tplc="04160019" w:tentative="1">
      <w:start w:val="1"/>
      <w:numFmt w:val="lowerLetter"/>
      <w:lvlText w:val="%2."/>
      <w:lvlJc w:val="left"/>
      <w:pPr>
        <w:ind w:left="2210" w:hanging="360"/>
      </w:pPr>
    </w:lvl>
    <w:lvl w:ilvl="2" w:tplc="0416001B" w:tentative="1">
      <w:start w:val="1"/>
      <w:numFmt w:val="lowerRoman"/>
      <w:lvlText w:val="%3."/>
      <w:lvlJc w:val="right"/>
      <w:pPr>
        <w:ind w:left="2930" w:hanging="180"/>
      </w:pPr>
    </w:lvl>
    <w:lvl w:ilvl="3" w:tplc="0416000F" w:tentative="1">
      <w:start w:val="1"/>
      <w:numFmt w:val="decimal"/>
      <w:lvlText w:val="%4."/>
      <w:lvlJc w:val="left"/>
      <w:pPr>
        <w:ind w:left="3650" w:hanging="360"/>
      </w:pPr>
    </w:lvl>
    <w:lvl w:ilvl="4" w:tplc="04160019" w:tentative="1">
      <w:start w:val="1"/>
      <w:numFmt w:val="lowerLetter"/>
      <w:lvlText w:val="%5."/>
      <w:lvlJc w:val="left"/>
      <w:pPr>
        <w:ind w:left="4370" w:hanging="360"/>
      </w:pPr>
    </w:lvl>
    <w:lvl w:ilvl="5" w:tplc="0416001B" w:tentative="1">
      <w:start w:val="1"/>
      <w:numFmt w:val="lowerRoman"/>
      <w:lvlText w:val="%6."/>
      <w:lvlJc w:val="right"/>
      <w:pPr>
        <w:ind w:left="5090" w:hanging="180"/>
      </w:pPr>
    </w:lvl>
    <w:lvl w:ilvl="6" w:tplc="0416000F" w:tentative="1">
      <w:start w:val="1"/>
      <w:numFmt w:val="decimal"/>
      <w:lvlText w:val="%7."/>
      <w:lvlJc w:val="left"/>
      <w:pPr>
        <w:ind w:left="5810" w:hanging="360"/>
      </w:pPr>
    </w:lvl>
    <w:lvl w:ilvl="7" w:tplc="04160019" w:tentative="1">
      <w:start w:val="1"/>
      <w:numFmt w:val="lowerLetter"/>
      <w:lvlText w:val="%8."/>
      <w:lvlJc w:val="left"/>
      <w:pPr>
        <w:ind w:left="6530" w:hanging="360"/>
      </w:pPr>
    </w:lvl>
    <w:lvl w:ilvl="8" w:tplc="0416001B" w:tentative="1">
      <w:start w:val="1"/>
      <w:numFmt w:val="lowerRoman"/>
      <w:lvlText w:val="%9."/>
      <w:lvlJc w:val="right"/>
      <w:pPr>
        <w:ind w:left="7250" w:hanging="180"/>
      </w:pPr>
    </w:lvl>
  </w:abstractNum>
  <w:abstractNum w:abstractNumId="5" w15:restartNumberingAfterBreak="0">
    <w:nsid w:val="2D221DB4"/>
    <w:multiLevelType w:val="hybridMultilevel"/>
    <w:tmpl w:val="5A284108"/>
    <w:lvl w:ilvl="0" w:tplc="42F06F38">
      <w:start w:val="1"/>
      <w:numFmt w:val="lowerLetter"/>
      <w:lvlText w:val="%1)"/>
      <w:lvlJc w:val="left"/>
      <w:pPr>
        <w:ind w:left="1065" w:hanging="36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6" w15:restartNumberingAfterBreak="0">
    <w:nsid w:val="387F19C3"/>
    <w:multiLevelType w:val="hybridMultilevel"/>
    <w:tmpl w:val="F236C8E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5AF35515"/>
    <w:multiLevelType w:val="hybridMultilevel"/>
    <w:tmpl w:val="7360C44C"/>
    <w:lvl w:ilvl="0" w:tplc="2446D906">
      <w:start w:val="1"/>
      <w:numFmt w:val="lowerLetter"/>
      <w:lvlText w:val="%1)"/>
      <w:lvlJc w:val="left"/>
      <w:pPr>
        <w:ind w:left="1490" w:hanging="360"/>
      </w:pPr>
      <w:rPr>
        <w:rFonts w:hint="default"/>
        <w:color w:val="000000"/>
      </w:rPr>
    </w:lvl>
    <w:lvl w:ilvl="1" w:tplc="04160019" w:tentative="1">
      <w:start w:val="1"/>
      <w:numFmt w:val="lowerLetter"/>
      <w:lvlText w:val="%2."/>
      <w:lvlJc w:val="left"/>
      <w:pPr>
        <w:ind w:left="2210" w:hanging="360"/>
      </w:pPr>
    </w:lvl>
    <w:lvl w:ilvl="2" w:tplc="0416001B" w:tentative="1">
      <w:start w:val="1"/>
      <w:numFmt w:val="lowerRoman"/>
      <w:lvlText w:val="%3."/>
      <w:lvlJc w:val="right"/>
      <w:pPr>
        <w:ind w:left="2930" w:hanging="180"/>
      </w:pPr>
    </w:lvl>
    <w:lvl w:ilvl="3" w:tplc="0416000F" w:tentative="1">
      <w:start w:val="1"/>
      <w:numFmt w:val="decimal"/>
      <w:lvlText w:val="%4."/>
      <w:lvlJc w:val="left"/>
      <w:pPr>
        <w:ind w:left="3650" w:hanging="360"/>
      </w:pPr>
    </w:lvl>
    <w:lvl w:ilvl="4" w:tplc="04160019" w:tentative="1">
      <w:start w:val="1"/>
      <w:numFmt w:val="lowerLetter"/>
      <w:lvlText w:val="%5."/>
      <w:lvlJc w:val="left"/>
      <w:pPr>
        <w:ind w:left="4370" w:hanging="360"/>
      </w:pPr>
    </w:lvl>
    <w:lvl w:ilvl="5" w:tplc="0416001B" w:tentative="1">
      <w:start w:val="1"/>
      <w:numFmt w:val="lowerRoman"/>
      <w:lvlText w:val="%6."/>
      <w:lvlJc w:val="right"/>
      <w:pPr>
        <w:ind w:left="5090" w:hanging="180"/>
      </w:pPr>
    </w:lvl>
    <w:lvl w:ilvl="6" w:tplc="0416000F" w:tentative="1">
      <w:start w:val="1"/>
      <w:numFmt w:val="decimal"/>
      <w:lvlText w:val="%7."/>
      <w:lvlJc w:val="left"/>
      <w:pPr>
        <w:ind w:left="5810" w:hanging="360"/>
      </w:pPr>
    </w:lvl>
    <w:lvl w:ilvl="7" w:tplc="04160019" w:tentative="1">
      <w:start w:val="1"/>
      <w:numFmt w:val="lowerLetter"/>
      <w:lvlText w:val="%8."/>
      <w:lvlJc w:val="left"/>
      <w:pPr>
        <w:ind w:left="6530" w:hanging="360"/>
      </w:pPr>
    </w:lvl>
    <w:lvl w:ilvl="8" w:tplc="0416001B" w:tentative="1">
      <w:start w:val="1"/>
      <w:numFmt w:val="lowerRoman"/>
      <w:lvlText w:val="%9."/>
      <w:lvlJc w:val="right"/>
      <w:pPr>
        <w:ind w:left="7250" w:hanging="180"/>
      </w:pPr>
    </w:lvl>
  </w:abstractNum>
  <w:abstractNum w:abstractNumId="8" w15:restartNumberingAfterBreak="0">
    <w:nsid w:val="634C34E4"/>
    <w:multiLevelType w:val="hybridMultilevel"/>
    <w:tmpl w:val="0A76BD52"/>
    <w:lvl w:ilvl="0" w:tplc="86EC8184">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9" w15:restartNumberingAfterBreak="0">
    <w:nsid w:val="6BAB5088"/>
    <w:multiLevelType w:val="hybridMultilevel"/>
    <w:tmpl w:val="A5B45D88"/>
    <w:lvl w:ilvl="0" w:tplc="72268AE2">
      <w:start w:val="1"/>
      <w:numFmt w:val="lowerLetter"/>
      <w:lvlText w:val="%1)"/>
      <w:lvlJc w:val="left"/>
      <w:pPr>
        <w:ind w:left="1494" w:hanging="360"/>
      </w:pPr>
      <w:rPr>
        <w:rFonts w:hint="default"/>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0" w15:restartNumberingAfterBreak="0">
    <w:nsid w:val="6BD1789C"/>
    <w:multiLevelType w:val="multilevel"/>
    <w:tmpl w:val="7A48B4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1"/>
  </w:num>
  <w:num w:numId="3">
    <w:abstractNumId w:val="0"/>
  </w:num>
  <w:num w:numId="4">
    <w:abstractNumId w:val="5"/>
  </w:num>
  <w:num w:numId="5">
    <w:abstractNumId w:val="10"/>
  </w:num>
  <w:num w:numId="6">
    <w:abstractNumId w:val="2"/>
  </w:num>
  <w:num w:numId="7">
    <w:abstractNumId w:val="9"/>
  </w:num>
  <w:num w:numId="8">
    <w:abstractNumId w:val="4"/>
  </w:num>
  <w:num w:numId="9">
    <w:abstractNumId w:val="3"/>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1B5"/>
    <w:rsid w:val="00002610"/>
    <w:rsid w:val="00003C18"/>
    <w:rsid w:val="00005024"/>
    <w:rsid w:val="0001025D"/>
    <w:rsid w:val="00013953"/>
    <w:rsid w:val="00016572"/>
    <w:rsid w:val="000246D8"/>
    <w:rsid w:val="00030502"/>
    <w:rsid w:val="00032547"/>
    <w:rsid w:val="000329B8"/>
    <w:rsid w:val="00041AF9"/>
    <w:rsid w:val="00042C9C"/>
    <w:rsid w:val="000452B9"/>
    <w:rsid w:val="000512F4"/>
    <w:rsid w:val="00053072"/>
    <w:rsid w:val="000538AF"/>
    <w:rsid w:val="0006346F"/>
    <w:rsid w:val="000652B5"/>
    <w:rsid w:val="00071374"/>
    <w:rsid w:val="0007629E"/>
    <w:rsid w:val="0008004B"/>
    <w:rsid w:val="000856E3"/>
    <w:rsid w:val="0009563F"/>
    <w:rsid w:val="000A5F57"/>
    <w:rsid w:val="000A7CEB"/>
    <w:rsid w:val="000B2F46"/>
    <w:rsid w:val="000C0B03"/>
    <w:rsid w:val="000C4A00"/>
    <w:rsid w:val="000C4E05"/>
    <w:rsid w:val="000C70FF"/>
    <w:rsid w:val="000D1CC5"/>
    <w:rsid w:val="000D47B9"/>
    <w:rsid w:val="000D4DBE"/>
    <w:rsid w:val="000E0100"/>
    <w:rsid w:val="000E2C83"/>
    <w:rsid w:val="000E742D"/>
    <w:rsid w:val="000F4B8C"/>
    <w:rsid w:val="00106B84"/>
    <w:rsid w:val="0011095F"/>
    <w:rsid w:val="00122505"/>
    <w:rsid w:val="001314D6"/>
    <w:rsid w:val="00140087"/>
    <w:rsid w:val="00142842"/>
    <w:rsid w:val="00144C0C"/>
    <w:rsid w:val="00145CE0"/>
    <w:rsid w:val="00150E4E"/>
    <w:rsid w:val="00151886"/>
    <w:rsid w:val="00155825"/>
    <w:rsid w:val="00156ECB"/>
    <w:rsid w:val="00160819"/>
    <w:rsid w:val="00160C5C"/>
    <w:rsid w:val="00173402"/>
    <w:rsid w:val="00174168"/>
    <w:rsid w:val="001838A4"/>
    <w:rsid w:val="00183D16"/>
    <w:rsid w:val="0019086D"/>
    <w:rsid w:val="00191C20"/>
    <w:rsid w:val="001A7C1F"/>
    <w:rsid w:val="001B3C79"/>
    <w:rsid w:val="001B64C9"/>
    <w:rsid w:val="001B6A11"/>
    <w:rsid w:val="001C0EC0"/>
    <w:rsid w:val="001C5BE5"/>
    <w:rsid w:val="001D1AFE"/>
    <w:rsid w:val="001D3CB2"/>
    <w:rsid w:val="001E0CD5"/>
    <w:rsid w:val="001E3660"/>
    <w:rsid w:val="001F0FE1"/>
    <w:rsid w:val="001F4012"/>
    <w:rsid w:val="001F7ECE"/>
    <w:rsid w:val="00201946"/>
    <w:rsid w:val="00203C95"/>
    <w:rsid w:val="002040F0"/>
    <w:rsid w:val="002053F3"/>
    <w:rsid w:val="0020569B"/>
    <w:rsid w:val="00212310"/>
    <w:rsid w:val="00216EEA"/>
    <w:rsid w:val="002204EC"/>
    <w:rsid w:val="002214F9"/>
    <w:rsid w:val="00222509"/>
    <w:rsid w:val="00222808"/>
    <w:rsid w:val="00225E88"/>
    <w:rsid w:val="0022636B"/>
    <w:rsid w:val="002432B4"/>
    <w:rsid w:val="002478C1"/>
    <w:rsid w:val="00250172"/>
    <w:rsid w:val="0025056D"/>
    <w:rsid w:val="00251A02"/>
    <w:rsid w:val="0025490E"/>
    <w:rsid w:val="00260F40"/>
    <w:rsid w:val="00261D1D"/>
    <w:rsid w:val="00261F65"/>
    <w:rsid w:val="00262999"/>
    <w:rsid w:val="00266012"/>
    <w:rsid w:val="00266580"/>
    <w:rsid w:val="002702A8"/>
    <w:rsid w:val="00271E1B"/>
    <w:rsid w:val="00272EEF"/>
    <w:rsid w:val="002757D6"/>
    <w:rsid w:val="00275FDD"/>
    <w:rsid w:val="00284979"/>
    <w:rsid w:val="00293F32"/>
    <w:rsid w:val="00296B66"/>
    <w:rsid w:val="002A1D40"/>
    <w:rsid w:val="002B054F"/>
    <w:rsid w:val="002C14CC"/>
    <w:rsid w:val="002C7E29"/>
    <w:rsid w:val="002D09B7"/>
    <w:rsid w:val="002D1147"/>
    <w:rsid w:val="002D7AFB"/>
    <w:rsid w:val="002E0026"/>
    <w:rsid w:val="002E0028"/>
    <w:rsid w:val="002E182C"/>
    <w:rsid w:val="002E1916"/>
    <w:rsid w:val="002F29D6"/>
    <w:rsid w:val="002F4F24"/>
    <w:rsid w:val="00300387"/>
    <w:rsid w:val="00300DD8"/>
    <w:rsid w:val="00301777"/>
    <w:rsid w:val="0030525D"/>
    <w:rsid w:val="003107CF"/>
    <w:rsid w:val="0031265A"/>
    <w:rsid w:val="00316F59"/>
    <w:rsid w:val="003170CD"/>
    <w:rsid w:val="00320187"/>
    <w:rsid w:val="00344121"/>
    <w:rsid w:val="0034505D"/>
    <w:rsid w:val="003454C6"/>
    <w:rsid w:val="0035280C"/>
    <w:rsid w:val="00355170"/>
    <w:rsid w:val="003556CD"/>
    <w:rsid w:val="003575BA"/>
    <w:rsid w:val="0035787F"/>
    <w:rsid w:val="00371008"/>
    <w:rsid w:val="0037108D"/>
    <w:rsid w:val="00381818"/>
    <w:rsid w:val="003833AE"/>
    <w:rsid w:val="00385B4E"/>
    <w:rsid w:val="00386FB2"/>
    <w:rsid w:val="00392878"/>
    <w:rsid w:val="003931E6"/>
    <w:rsid w:val="0039322F"/>
    <w:rsid w:val="003A09B7"/>
    <w:rsid w:val="003A6A75"/>
    <w:rsid w:val="003A782C"/>
    <w:rsid w:val="003B0B04"/>
    <w:rsid w:val="003B39A9"/>
    <w:rsid w:val="003B7D6B"/>
    <w:rsid w:val="003C249F"/>
    <w:rsid w:val="003C2713"/>
    <w:rsid w:val="003D04F4"/>
    <w:rsid w:val="003D7945"/>
    <w:rsid w:val="003E2521"/>
    <w:rsid w:val="003E2BA7"/>
    <w:rsid w:val="003E3220"/>
    <w:rsid w:val="003F6F4B"/>
    <w:rsid w:val="00404928"/>
    <w:rsid w:val="0041268D"/>
    <w:rsid w:val="004157A7"/>
    <w:rsid w:val="00424BB1"/>
    <w:rsid w:val="00426F64"/>
    <w:rsid w:val="00433253"/>
    <w:rsid w:val="00434E50"/>
    <w:rsid w:val="004351BA"/>
    <w:rsid w:val="0044320C"/>
    <w:rsid w:val="00444090"/>
    <w:rsid w:val="00463400"/>
    <w:rsid w:val="004642F4"/>
    <w:rsid w:val="00464363"/>
    <w:rsid w:val="004757BB"/>
    <w:rsid w:val="00493789"/>
    <w:rsid w:val="004945F0"/>
    <w:rsid w:val="00494D77"/>
    <w:rsid w:val="004B3470"/>
    <w:rsid w:val="004B3A69"/>
    <w:rsid w:val="004B41EB"/>
    <w:rsid w:val="004C3242"/>
    <w:rsid w:val="004C5B47"/>
    <w:rsid w:val="004D0C37"/>
    <w:rsid w:val="004D1A01"/>
    <w:rsid w:val="004D2C15"/>
    <w:rsid w:val="004D3E11"/>
    <w:rsid w:val="004D5C6B"/>
    <w:rsid w:val="004D604A"/>
    <w:rsid w:val="004E1F03"/>
    <w:rsid w:val="004E25D1"/>
    <w:rsid w:val="004E3133"/>
    <w:rsid w:val="004F14E8"/>
    <w:rsid w:val="004F5A1F"/>
    <w:rsid w:val="00500107"/>
    <w:rsid w:val="00507EE2"/>
    <w:rsid w:val="00511921"/>
    <w:rsid w:val="005140EC"/>
    <w:rsid w:val="005146A8"/>
    <w:rsid w:val="005149AB"/>
    <w:rsid w:val="00515BC9"/>
    <w:rsid w:val="00517FCB"/>
    <w:rsid w:val="005275A4"/>
    <w:rsid w:val="0053160A"/>
    <w:rsid w:val="005414BD"/>
    <w:rsid w:val="005457E0"/>
    <w:rsid w:val="00545911"/>
    <w:rsid w:val="00557C88"/>
    <w:rsid w:val="005656DD"/>
    <w:rsid w:val="00566FFC"/>
    <w:rsid w:val="00571645"/>
    <w:rsid w:val="00571847"/>
    <w:rsid w:val="00574C5D"/>
    <w:rsid w:val="00575A13"/>
    <w:rsid w:val="0057673B"/>
    <w:rsid w:val="0057752E"/>
    <w:rsid w:val="0059197B"/>
    <w:rsid w:val="00596622"/>
    <w:rsid w:val="005A0714"/>
    <w:rsid w:val="005A3817"/>
    <w:rsid w:val="005B0666"/>
    <w:rsid w:val="005B5F7F"/>
    <w:rsid w:val="005B6EDB"/>
    <w:rsid w:val="005B77F0"/>
    <w:rsid w:val="005C2A18"/>
    <w:rsid w:val="005C2BE1"/>
    <w:rsid w:val="005C44F8"/>
    <w:rsid w:val="005C470C"/>
    <w:rsid w:val="005E5080"/>
    <w:rsid w:val="005F374D"/>
    <w:rsid w:val="005F5D74"/>
    <w:rsid w:val="00603E9E"/>
    <w:rsid w:val="00604F23"/>
    <w:rsid w:val="00612F9A"/>
    <w:rsid w:val="0061585B"/>
    <w:rsid w:val="0061740C"/>
    <w:rsid w:val="00641E52"/>
    <w:rsid w:val="00642554"/>
    <w:rsid w:val="006425E0"/>
    <w:rsid w:val="006441A9"/>
    <w:rsid w:val="0064552E"/>
    <w:rsid w:val="00646EB8"/>
    <w:rsid w:val="00650D34"/>
    <w:rsid w:val="0065178F"/>
    <w:rsid w:val="0065534D"/>
    <w:rsid w:val="00655677"/>
    <w:rsid w:val="00670548"/>
    <w:rsid w:val="00675173"/>
    <w:rsid w:val="00676AFB"/>
    <w:rsid w:val="00692072"/>
    <w:rsid w:val="00692E33"/>
    <w:rsid w:val="006933C7"/>
    <w:rsid w:val="006A1EF8"/>
    <w:rsid w:val="006A2210"/>
    <w:rsid w:val="006A39FE"/>
    <w:rsid w:val="006A5996"/>
    <w:rsid w:val="006A6AB0"/>
    <w:rsid w:val="006A6AC6"/>
    <w:rsid w:val="006B04F1"/>
    <w:rsid w:val="006B41B8"/>
    <w:rsid w:val="006B7C18"/>
    <w:rsid w:val="006C2152"/>
    <w:rsid w:val="006C5E3F"/>
    <w:rsid w:val="006C630A"/>
    <w:rsid w:val="006C7DEA"/>
    <w:rsid w:val="006D2E4B"/>
    <w:rsid w:val="006D7477"/>
    <w:rsid w:val="006E3B25"/>
    <w:rsid w:val="006E7757"/>
    <w:rsid w:val="006F049E"/>
    <w:rsid w:val="006F544A"/>
    <w:rsid w:val="006F6620"/>
    <w:rsid w:val="007003BA"/>
    <w:rsid w:val="0070259D"/>
    <w:rsid w:val="00702E62"/>
    <w:rsid w:val="00710286"/>
    <w:rsid w:val="007151CC"/>
    <w:rsid w:val="0071563F"/>
    <w:rsid w:val="007332AF"/>
    <w:rsid w:val="007347E7"/>
    <w:rsid w:val="00743C75"/>
    <w:rsid w:val="00750A36"/>
    <w:rsid w:val="007575F0"/>
    <w:rsid w:val="00761B4B"/>
    <w:rsid w:val="00770F79"/>
    <w:rsid w:val="007737D1"/>
    <w:rsid w:val="00774F12"/>
    <w:rsid w:val="00780A48"/>
    <w:rsid w:val="00780E15"/>
    <w:rsid w:val="00783332"/>
    <w:rsid w:val="00793C63"/>
    <w:rsid w:val="007941DC"/>
    <w:rsid w:val="0079603B"/>
    <w:rsid w:val="00796B87"/>
    <w:rsid w:val="00797941"/>
    <w:rsid w:val="007A703B"/>
    <w:rsid w:val="007A71CA"/>
    <w:rsid w:val="007B0CE8"/>
    <w:rsid w:val="007B265A"/>
    <w:rsid w:val="007B4170"/>
    <w:rsid w:val="007B72E8"/>
    <w:rsid w:val="007C0922"/>
    <w:rsid w:val="007C3EB2"/>
    <w:rsid w:val="007C4E4F"/>
    <w:rsid w:val="007C550E"/>
    <w:rsid w:val="007C6887"/>
    <w:rsid w:val="007D244F"/>
    <w:rsid w:val="007D2FA2"/>
    <w:rsid w:val="007D3E7E"/>
    <w:rsid w:val="007D4EA7"/>
    <w:rsid w:val="007D715D"/>
    <w:rsid w:val="007D788D"/>
    <w:rsid w:val="007E5DDD"/>
    <w:rsid w:val="007F3E83"/>
    <w:rsid w:val="008001C2"/>
    <w:rsid w:val="008009BA"/>
    <w:rsid w:val="00801B56"/>
    <w:rsid w:val="0080487F"/>
    <w:rsid w:val="00804C31"/>
    <w:rsid w:val="00805A46"/>
    <w:rsid w:val="00805B7F"/>
    <w:rsid w:val="0080740D"/>
    <w:rsid w:val="00813AA0"/>
    <w:rsid w:val="008171FC"/>
    <w:rsid w:val="0081735A"/>
    <w:rsid w:val="008174FE"/>
    <w:rsid w:val="008260B9"/>
    <w:rsid w:val="008263F6"/>
    <w:rsid w:val="00826697"/>
    <w:rsid w:val="008401B5"/>
    <w:rsid w:val="00842617"/>
    <w:rsid w:val="00844A5D"/>
    <w:rsid w:val="00855EA6"/>
    <w:rsid w:val="0085662B"/>
    <w:rsid w:val="00877FB0"/>
    <w:rsid w:val="0088011A"/>
    <w:rsid w:val="00883418"/>
    <w:rsid w:val="00896205"/>
    <w:rsid w:val="00897F12"/>
    <w:rsid w:val="008A026B"/>
    <w:rsid w:val="008A0458"/>
    <w:rsid w:val="008B02A5"/>
    <w:rsid w:val="008B02DB"/>
    <w:rsid w:val="008B27CF"/>
    <w:rsid w:val="008D51B2"/>
    <w:rsid w:val="008E3194"/>
    <w:rsid w:val="008E3753"/>
    <w:rsid w:val="008E3D9C"/>
    <w:rsid w:val="008E6B7C"/>
    <w:rsid w:val="008F1F3F"/>
    <w:rsid w:val="008F2496"/>
    <w:rsid w:val="008F2B3F"/>
    <w:rsid w:val="008F6953"/>
    <w:rsid w:val="00902E26"/>
    <w:rsid w:val="00922A01"/>
    <w:rsid w:val="0093004E"/>
    <w:rsid w:val="009338D5"/>
    <w:rsid w:val="00940AD7"/>
    <w:rsid w:val="00940D3C"/>
    <w:rsid w:val="00947E54"/>
    <w:rsid w:val="00953269"/>
    <w:rsid w:val="009627BF"/>
    <w:rsid w:val="00962F93"/>
    <w:rsid w:val="009724F2"/>
    <w:rsid w:val="009753FE"/>
    <w:rsid w:val="00975E57"/>
    <w:rsid w:val="00984EFE"/>
    <w:rsid w:val="00997960"/>
    <w:rsid w:val="009A1A6E"/>
    <w:rsid w:val="009B0889"/>
    <w:rsid w:val="009B2D02"/>
    <w:rsid w:val="009B57A8"/>
    <w:rsid w:val="009C6900"/>
    <w:rsid w:val="009D2A39"/>
    <w:rsid w:val="009D4BAB"/>
    <w:rsid w:val="009D4F6B"/>
    <w:rsid w:val="009D589B"/>
    <w:rsid w:val="009E36E5"/>
    <w:rsid w:val="009E6024"/>
    <w:rsid w:val="009E6C85"/>
    <w:rsid w:val="009F3D4E"/>
    <w:rsid w:val="009F3D77"/>
    <w:rsid w:val="00A10934"/>
    <w:rsid w:val="00A15908"/>
    <w:rsid w:val="00A15F12"/>
    <w:rsid w:val="00A3280C"/>
    <w:rsid w:val="00A3430A"/>
    <w:rsid w:val="00A46366"/>
    <w:rsid w:val="00A61950"/>
    <w:rsid w:val="00A6448C"/>
    <w:rsid w:val="00A65D80"/>
    <w:rsid w:val="00A660D3"/>
    <w:rsid w:val="00A722F7"/>
    <w:rsid w:val="00A77B08"/>
    <w:rsid w:val="00A77DD6"/>
    <w:rsid w:val="00A8297C"/>
    <w:rsid w:val="00A8445F"/>
    <w:rsid w:val="00A91B88"/>
    <w:rsid w:val="00A9493D"/>
    <w:rsid w:val="00A97C38"/>
    <w:rsid w:val="00AA0033"/>
    <w:rsid w:val="00AA0F52"/>
    <w:rsid w:val="00AA4D0F"/>
    <w:rsid w:val="00AA6727"/>
    <w:rsid w:val="00AB0A68"/>
    <w:rsid w:val="00AB2855"/>
    <w:rsid w:val="00AC2E3C"/>
    <w:rsid w:val="00AC60F6"/>
    <w:rsid w:val="00AD233B"/>
    <w:rsid w:val="00AD3E95"/>
    <w:rsid w:val="00AD3FC3"/>
    <w:rsid w:val="00AD64EC"/>
    <w:rsid w:val="00AE0CC8"/>
    <w:rsid w:val="00AE38DA"/>
    <w:rsid w:val="00AE4243"/>
    <w:rsid w:val="00B02220"/>
    <w:rsid w:val="00B0369D"/>
    <w:rsid w:val="00B04146"/>
    <w:rsid w:val="00B04E92"/>
    <w:rsid w:val="00B05166"/>
    <w:rsid w:val="00B06910"/>
    <w:rsid w:val="00B209C9"/>
    <w:rsid w:val="00B2176C"/>
    <w:rsid w:val="00B21E6D"/>
    <w:rsid w:val="00B25B54"/>
    <w:rsid w:val="00B31E2C"/>
    <w:rsid w:val="00B51B6D"/>
    <w:rsid w:val="00B70A31"/>
    <w:rsid w:val="00B70C2B"/>
    <w:rsid w:val="00B7267C"/>
    <w:rsid w:val="00B76457"/>
    <w:rsid w:val="00B83CFD"/>
    <w:rsid w:val="00B8409B"/>
    <w:rsid w:val="00B847C0"/>
    <w:rsid w:val="00B87CCC"/>
    <w:rsid w:val="00BA4A17"/>
    <w:rsid w:val="00BB1906"/>
    <w:rsid w:val="00BB1993"/>
    <w:rsid w:val="00BB5BD0"/>
    <w:rsid w:val="00BC3385"/>
    <w:rsid w:val="00BC637D"/>
    <w:rsid w:val="00BD3E34"/>
    <w:rsid w:val="00BD4835"/>
    <w:rsid w:val="00BD6D43"/>
    <w:rsid w:val="00BD7BCA"/>
    <w:rsid w:val="00BE1435"/>
    <w:rsid w:val="00BE3C42"/>
    <w:rsid w:val="00BE66DF"/>
    <w:rsid w:val="00BE6FD9"/>
    <w:rsid w:val="00BF34B8"/>
    <w:rsid w:val="00BF4F5A"/>
    <w:rsid w:val="00BF68CE"/>
    <w:rsid w:val="00C01644"/>
    <w:rsid w:val="00C0367B"/>
    <w:rsid w:val="00C06492"/>
    <w:rsid w:val="00C10FD8"/>
    <w:rsid w:val="00C111BB"/>
    <w:rsid w:val="00C17E43"/>
    <w:rsid w:val="00C2495C"/>
    <w:rsid w:val="00C24F67"/>
    <w:rsid w:val="00C27553"/>
    <w:rsid w:val="00C30E41"/>
    <w:rsid w:val="00C35820"/>
    <w:rsid w:val="00C47A66"/>
    <w:rsid w:val="00C753C6"/>
    <w:rsid w:val="00C8073B"/>
    <w:rsid w:val="00C86642"/>
    <w:rsid w:val="00C86FA0"/>
    <w:rsid w:val="00C90837"/>
    <w:rsid w:val="00C909A0"/>
    <w:rsid w:val="00C937B3"/>
    <w:rsid w:val="00C962FC"/>
    <w:rsid w:val="00C9660E"/>
    <w:rsid w:val="00C97195"/>
    <w:rsid w:val="00CB265D"/>
    <w:rsid w:val="00CB7054"/>
    <w:rsid w:val="00CC1D7E"/>
    <w:rsid w:val="00CD37E8"/>
    <w:rsid w:val="00CD5100"/>
    <w:rsid w:val="00CD7CBB"/>
    <w:rsid w:val="00CD7DC6"/>
    <w:rsid w:val="00CD7F50"/>
    <w:rsid w:val="00CE068E"/>
    <w:rsid w:val="00CE29B1"/>
    <w:rsid w:val="00CE5415"/>
    <w:rsid w:val="00CE5AF6"/>
    <w:rsid w:val="00CE5FDF"/>
    <w:rsid w:val="00CF18E6"/>
    <w:rsid w:val="00CF2E1D"/>
    <w:rsid w:val="00CF4C12"/>
    <w:rsid w:val="00D010DC"/>
    <w:rsid w:val="00D02847"/>
    <w:rsid w:val="00D02F17"/>
    <w:rsid w:val="00D03F65"/>
    <w:rsid w:val="00D07592"/>
    <w:rsid w:val="00D10F58"/>
    <w:rsid w:val="00D2008F"/>
    <w:rsid w:val="00D20946"/>
    <w:rsid w:val="00D20F05"/>
    <w:rsid w:val="00D23F44"/>
    <w:rsid w:val="00D25E08"/>
    <w:rsid w:val="00D34394"/>
    <w:rsid w:val="00D37194"/>
    <w:rsid w:val="00D51455"/>
    <w:rsid w:val="00D61AFB"/>
    <w:rsid w:val="00D62E11"/>
    <w:rsid w:val="00D63CE8"/>
    <w:rsid w:val="00D805A0"/>
    <w:rsid w:val="00D81669"/>
    <w:rsid w:val="00D87394"/>
    <w:rsid w:val="00D9022D"/>
    <w:rsid w:val="00D90D1C"/>
    <w:rsid w:val="00D91B69"/>
    <w:rsid w:val="00D95428"/>
    <w:rsid w:val="00DA36B8"/>
    <w:rsid w:val="00DB2379"/>
    <w:rsid w:val="00DB416B"/>
    <w:rsid w:val="00DB4D41"/>
    <w:rsid w:val="00DB528E"/>
    <w:rsid w:val="00DB6E2D"/>
    <w:rsid w:val="00DC4110"/>
    <w:rsid w:val="00DD1534"/>
    <w:rsid w:val="00DD3213"/>
    <w:rsid w:val="00DD47CB"/>
    <w:rsid w:val="00DD7A29"/>
    <w:rsid w:val="00DE2F13"/>
    <w:rsid w:val="00DE77C5"/>
    <w:rsid w:val="00DF4D5C"/>
    <w:rsid w:val="00DF5A77"/>
    <w:rsid w:val="00DF77A1"/>
    <w:rsid w:val="00DF7DEA"/>
    <w:rsid w:val="00E00F00"/>
    <w:rsid w:val="00E015DB"/>
    <w:rsid w:val="00E02F4B"/>
    <w:rsid w:val="00E1255F"/>
    <w:rsid w:val="00E14149"/>
    <w:rsid w:val="00E225CE"/>
    <w:rsid w:val="00E23DE4"/>
    <w:rsid w:val="00E26921"/>
    <w:rsid w:val="00E27E9F"/>
    <w:rsid w:val="00E31A5D"/>
    <w:rsid w:val="00E31BE1"/>
    <w:rsid w:val="00E3356F"/>
    <w:rsid w:val="00E36A62"/>
    <w:rsid w:val="00E42AA4"/>
    <w:rsid w:val="00E602FD"/>
    <w:rsid w:val="00E65709"/>
    <w:rsid w:val="00E67FEA"/>
    <w:rsid w:val="00E71A2C"/>
    <w:rsid w:val="00E75B75"/>
    <w:rsid w:val="00E80B10"/>
    <w:rsid w:val="00E80E7F"/>
    <w:rsid w:val="00EA2C7F"/>
    <w:rsid w:val="00EA5FCB"/>
    <w:rsid w:val="00EB058F"/>
    <w:rsid w:val="00EB30B9"/>
    <w:rsid w:val="00EB48C1"/>
    <w:rsid w:val="00EB5CCD"/>
    <w:rsid w:val="00EC6B13"/>
    <w:rsid w:val="00EC725E"/>
    <w:rsid w:val="00EE5B01"/>
    <w:rsid w:val="00EF1C5F"/>
    <w:rsid w:val="00EF6A80"/>
    <w:rsid w:val="00F02BB0"/>
    <w:rsid w:val="00F07377"/>
    <w:rsid w:val="00F1049C"/>
    <w:rsid w:val="00F11AFE"/>
    <w:rsid w:val="00F126FC"/>
    <w:rsid w:val="00F1337D"/>
    <w:rsid w:val="00F138CF"/>
    <w:rsid w:val="00F14EB0"/>
    <w:rsid w:val="00F26F5B"/>
    <w:rsid w:val="00F31456"/>
    <w:rsid w:val="00F316B0"/>
    <w:rsid w:val="00F5111D"/>
    <w:rsid w:val="00F51F37"/>
    <w:rsid w:val="00F5668B"/>
    <w:rsid w:val="00F60E15"/>
    <w:rsid w:val="00F66236"/>
    <w:rsid w:val="00F75984"/>
    <w:rsid w:val="00F96346"/>
    <w:rsid w:val="00FA0879"/>
    <w:rsid w:val="00FA12C6"/>
    <w:rsid w:val="00FB03E1"/>
    <w:rsid w:val="00FB043E"/>
    <w:rsid w:val="00FB212F"/>
    <w:rsid w:val="00FB4E09"/>
    <w:rsid w:val="00FC1502"/>
    <w:rsid w:val="00FC3850"/>
    <w:rsid w:val="00FC73D3"/>
    <w:rsid w:val="00FD133C"/>
    <w:rsid w:val="00FD3275"/>
    <w:rsid w:val="00FD439E"/>
    <w:rsid w:val="00FE0720"/>
    <w:rsid w:val="00FE6871"/>
    <w:rsid w:val="00FE6CC5"/>
    <w:rsid w:val="00FF031E"/>
    <w:rsid w:val="00FF1AE6"/>
    <w:rsid w:val="00FF689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5FD6BDFA-0927-4549-9261-55F86BA52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7CCC"/>
    <w:rPr>
      <w:sz w:val="24"/>
      <w:szCs w:val="24"/>
    </w:rPr>
  </w:style>
  <w:style w:type="paragraph" w:styleId="Ttulo3">
    <w:name w:val="heading 3"/>
    <w:basedOn w:val="Normal"/>
    <w:next w:val="Normal"/>
    <w:link w:val="Ttulo3Char"/>
    <w:uiPriority w:val="9"/>
    <w:semiHidden/>
    <w:unhideWhenUsed/>
    <w:qFormat/>
    <w:rsid w:val="00EF1C5F"/>
    <w:pPr>
      <w:keepNext/>
      <w:spacing w:before="240" w:after="60"/>
      <w:outlineLvl w:val="2"/>
    </w:pPr>
    <w:rPr>
      <w:rFonts w:ascii="Calibri Light" w:hAnsi="Calibri Light"/>
      <w:b/>
      <w:bCs/>
      <w:sz w:val="26"/>
      <w:szCs w:val="26"/>
    </w:rPr>
  </w:style>
  <w:style w:type="paragraph" w:styleId="Ttulo4">
    <w:name w:val="heading 4"/>
    <w:basedOn w:val="Normal"/>
    <w:next w:val="Normal"/>
    <w:link w:val="Ttulo4Char"/>
    <w:qFormat/>
    <w:rsid w:val="002C14CC"/>
    <w:pPr>
      <w:keepNext/>
      <w:outlineLvl w:val="3"/>
    </w:pPr>
    <w:rPr>
      <w:b/>
      <w:color w:val="0000FF"/>
    </w:rPr>
  </w:style>
  <w:style w:type="character" w:default="1" w:styleId="Fontepargpadro">
    <w:name w:val="Default Paragraph Font"/>
    <w:semiHidden/>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Introducao">
    <w:name w:val="Introducao"/>
    <w:basedOn w:val="Normal"/>
    <w:pPr>
      <w:spacing w:before="284"/>
      <w:ind w:firstLine="1418"/>
      <w:jc w:val="both"/>
    </w:pPr>
  </w:style>
  <w:style w:type="paragraph" w:styleId="Ttulo">
    <w:name w:val="Title"/>
    <w:basedOn w:val="Normal"/>
    <w:link w:val="TtuloChar"/>
    <w:qFormat/>
    <w:pPr>
      <w:jc w:val="center"/>
    </w:pPr>
    <w:rPr>
      <w:rFonts w:ascii="Arial" w:hAnsi="Arial"/>
    </w:rPr>
  </w:style>
  <w:style w:type="paragraph" w:styleId="Recuodecorpodetexto">
    <w:name w:val="Body Text Indent"/>
    <w:basedOn w:val="Normal"/>
    <w:semiHidden/>
    <w:pPr>
      <w:ind w:firstLine="1134"/>
      <w:jc w:val="both"/>
    </w:pPr>
  </w:style>
  <w:style w:type="paragraph" w:customStyle="1" w:styleId="Corpo">
    <w:name w:val="Corpo"/>
    <w:basedOn w:val="Normal"/>
    <w:pPr>
      <w:tabs>
        <w:tab w:val="left" w:pos="2268"/>
      </w:tabs>
      <w:spacing w:before="284"/>
      <w:ind w:firstLine="1418"/>
      <w:jc w:val="both"/>
    </w:pPr>
  </w:style>
  <w:style w:type="paragraph" w:styleId="Subttulo">
    <w:name w:val="Subtitle"/>
    <w:basedOn w:val="Normal"/>
    <w:qFormat/>
    <w:rPr>
      <w:rFonts w:ascii="Arial" w:hAnsi="Arial"/>
      <w:b/>
    </w:rPr>
  </w:style>
  <w:style w:type="paragraph" w:styleId="Recuodecorpodetexto3">
    <w:name w:val="Body Text Indent 3"/>
    <w:basedOn w:val="Normal"/>
    <w:link w:val="Recuodecorpodetexto3Char"/>
    <w:uiPriority w:val="99"/>
    <w:semiHidden/>
    <w:unhideWhenUsed/>
    <w:rsid w:val="002F29D6"/>
    <w:pPr>
      <w:spacing w:after="120"/>
      <w:ind w:left="283"/>
    </w:pPr>
    <w:rPr>
      <w:sz w:val="16"/>
      <w:szCs w:val="16"/>
    </w:rPr>
  </w:style>
  <w:style w:type="character" w:customStyle="1" w:styleId="Recuodecorpodetexto3Char">
    <w:name w:val="Recuo de corpo de texto 3 Char"/>
    <w:link w:val="Recuodecorpodetexto3"/>
    <w:uiPriority w:val="99"/>
    <w:semiHidden/>
    <w:rsid w:val="002F29D6"/>
    <w:rPr>
      <w:sz w:val="16"/>
      <w:szCs w:val="16"/>
    </w:rPr>
  </w:style>
  <w:style w:type="character" w:customStyle="1" w:styleId="TtuloChar">
    <w:name w:val="Título Char"/>
    <w:link w:val="Ttulo"/>
    <w:rsid w:val="00EA2C7F"/>
    <w:rPr>
      <w:rFonts w:ascii="Arial" w:hAnsi="Arial"/>
      <w:sz w:val="24"/>
    </w:rPr>
  </w:style>
  <w:style w:type="paragraph" w:customStyle="1" w:styleId="Cabealho">
    <w:name w:val="#Cabeçalho"/>
    <w:basedOn w:val="Normal"/>
    <w:rsid w:val="00EA2C7F"/>
    <w:pPr>
      <w:suppressAutoHyphens/>
      <w:spacing w:line="220" w:lineRule="exact"/>
      <w:jc w:val="both"/>
    </w:pPr>
    <w:rPr>
      <w:rFonts w:ascii="Arial" w:eastAsia="Calibri" w:hAnsi="Arial"/>
      <w:sz w:val="18"/>
      <w:lang w:eastAsia="ar-SA"/>
    </w:rPr>
  </w:style>
  <w:style w:type="paragraph" w:styleId="Cabealho0">
    <w:name w:val="header"/>
    <w:basedOn w:val="Normal"/>
    <w:link w:val="CabealhoChar"/>
    <w:uiPriority w:val="99"/>
    <w:unhideWhenUsed/>
    <w:rsid w:val="007B4170"/>
    <w:pPr>
      <w:tabs>
        <w:tab w:val="center" w:pos="4252"/>
        <w:tab w:val="right" w:pos="8504"/>
      </w:tabs>
    </w:pPr>
  </w:style>
  <w:style w:type="character" w:customStyle="1" w:styleId="CabealhoChar">
    <w:name w:val="Cabeçalho Char"/>
    <w:basedOn w:val="Fontepargpadro"/>
    <w:link w:val="Cabealho0"/>
    <w:uiPriority w:val="99"/>
    <w:rsid w:val="007B4170"/>
  </w:style>
  <w:style w:type="paragraph" w:styleId="Rodap">
    <w:name w:val="footer"/>
    <w:basedOn w:val="Normal"/>
    <w:link w:val="RodapChar"/>
    <w:uiPriority w:val="99"/>
    <w:unhideWhenUsed/>
    <w:rsid w:val="007B4170"/>
    <w:pPr>
      <w:tabs>
        <w:tab w:val="center" w:pos="4252"/>
        <w:tab w:val="right" w:pos="8504"/>
      </w:tabs>
    </w:pPr>
  </w:style>
  <w:style w:type="character" w:customStyle="1" w:styleId="RodapChar">
    <w:name w:val="Rodapé Char"/>
    <w:basedOn w:val="Fontepargpadro"/>
    <w:link w:val="Rodap"/>
    <w:uiPriority w:val="99"/>
    <w:rsid w:val="007B4170"/>
  </w:style>
  <w:style w:type="paragraph" w:styleId="Textodebalo">
    <w:name w:val="Balloon Text"/>
    <w:basedOn w:val="Normal"/>
    <w:link w:val="TextodebaloChar"/>
    <w:uiPriority w:val="99"/>
    <w:semiHidden/>
    <w:unhideWhenUsed/>
    <w:rsid w:val="007B4170"/>
    <w:rPr>
      <w:rFonts w:ascii="Segoe UI" w:hAnsi="Segoe UI" w:cs="Segoe UI"/>
      <w:sz w:val="18"/>
      <w:szCs w:val="18"/>
    </w:rPr>
  </w:style>
  <w:style w:type="character" w:customStyle="1" w:styleId="TextodebaloChar">
    <w:name w:val="Texto de balão Char"/>
    <w:link w:val="Textodebalo"/>
    <w:uiPriority w:val="99"/>
    <w:semiHidden/>
    <w:rsid w:val="007B4170"/>
    <w:rPr>
      <w:rFonts w:ascii="Segoe UI" w:hAnsi="Segoe UI" w:cs="Segoe UI"/>
      <w:sz w:val="18"/>
      <w:szCs w:val="18"/>
    </w:rPr>
  </w:style>
  <w:style w:type="paragraph" w:styleId="Recuodecorpodetexto2">
    <w:name w:val="Body Text Indent 2"/>
    <w:basedOn w:val="Normal"/>
    <w:link w:val="Recuodecorpodetexto2Char"/>
    <w:uiPriority w:val="99"/>
    <w:unhideWhenUsed/>
    <w:rsid w:val="002C14CC"/>
    <w:pPr>
      <w:spacing w:after="120" w:line="480" w:lineRule="auto"/>
      <w:ind w:left="283"/>
    </w:pPr>
  </w:style>
  <w:style w:type="character" w:customStyle="1" w:styleId="Recuodecorpodetexto2Char">
    <w:name w:val="Recuo de corpo de texto 2 Char"/>
    <w:basedOn w:val="Fontepargpadro"/>
    <w:link w:val="Recuodecorpodetexto2"/>
    <w:uiPriority w:val="99"/>
    <w:rsid w:val="002C14CC"/>
  </w:style>
  <w:style w:type="character" w:customStyle="1" w:styleId="Ttulo4Char">
    <w:name w:val="Título 4 Char"/>
    <w:link w:val="Ttulo4"/>
    <w:rsid w:val="002C14CC"/>
    <w:rPr>
      <w:b/>
      <w:color w:val="0000FF"/>
      <w:sz w:val="24"/>
    </w:rPr>
  </w:style>
  <w:style w:type="table" w:styleId="Tabelacomgrade">
    <w:name w:val="Table Grid"/>
    <w:basedOn w:val="Tabelanormal"/>
    <w:uiPriority w:val="39"/>
    <w:rsid w:val="006D2E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F26F5B"/>
    <w:pPr>
      <w:spacing w:after="160" w:line="252" w:lineRule="auto"/>
      <w:ind w:left="720"/>
      <w:contextualSpacing/>
    </w:pPr>
    <w:rPr>
      <w:rFonts w:ascii="Calibri" w:eastAsia="Calibri" w:hAnsi="Calibri"/>
      <w:sz w:val="22"/>
      <w:szCs w:val="22"/>
      <w:lang w:eastAsia="en-US"/>
    </w:rPr>
  </w:style>
  <w:style w:type="paragraph" w:customStyle="1" w:styleId="Default">
    <w:name w:val="Default"/>
    <w:rsid w:val="00F26F5B"/>
    <w:pPr>
      <w:autoSpaceDE w:val="0"/>
      <w:autoSpaceDN w:val="0"/>
      <w:adjustRightInd w:val="0"/>
    </w:pPr>
    <w:rPr>
      <w:rFonts w:ascii="Arial" w:eastAsia="Calibri" w:hAnsi="Arial" w:cs="Arial"/>
      <w:color w:val="000000"/>
      <w:sz w:val="24"/>
      <w:szCs w:val="24"/>
    </w:rPr>
  </w:style>
  <w:style w:type="paragraph" w:styleId="NormalWeb">
    <w:name w:val="Normal (Web)"/>
    <w:basedOn w:val="Normal"/>
    <w:uiPriority w:val="99"/>
    <w:unhideWhenUsed/>
    <w:rsid w:val="00392878"/>
    <w:pPr>
      <w:spacing w:before="100" w:beforeAutospacing="1" w:after="100" w:afterAutospacing="1"/>
    </w:pPr>
  </w:style>
  <w:style w:type="paragraph" w:customStyle="1" w:styleId="Inciso">
    <w:name w:val="#Inciso"/>
    <w:basedOn w:val="Normal"/>
    <w:uiPriority w:val="99"/>
    <w:rsid w:val="00CE5FDF"/>
    <w:pPr>
      <w:widowControl w:val="0"/>
      <w:suppressAutoHyphens/>
      <w:spacing w:after="120"/>
      <w:ind w:firstLine="1134"/>
      <w:jc w:val="both"/>
    </w:pPr>
    <w:rPr>
      <w:rFonts w:ascii="Calibri" w:hAnsi="Calibri"/>
    </w:rPr>
  </w:style>
  <w:style w:type="character" w:customStyle="1" w:styleId="mark6tx2apebn">
    <w:name w:val="mark6tx2apebn"/>
    <w:rsid w:val="0020569B"/>
  </w:style>
  <w:style w:type="character" w:customStyle="1" w:styleId="apple-converted-space">
    <w:name w:val="apple-converted-space"/>
    <w:basedOn w:val="Fontepargpadro"/>
    <w:rsid w:val="00BD4835"/>
  </w:style>
  <w:style w:type="character" w:styleId="Hyperlink">
    <w:name w:val="Hyperlink"/>
    <w:uiPriority w:val="99"/>
    <w:unhideWhenUsed/>
    <w:rsid w:val="00BD4835"/>
    <w:rPr>
      <w:color w:val="0000FF"/>
      <w:u w:val="single"/>
    </w:rPr>
  </w:style>
  <w:style w:type="character" w:styleId="nfase">
    <w:name w:val="Emphasis"/>
    <w:uiPriority w:val="20"/>
    <w:qFormat/>
    <w:rsid w:val="00BD4835"/>
    <w:rPr>
      <w:i/>
      <w:iCs/>
    </w:rPr>
  </w:style>
  <w:style w:type="character" w:styleId="MenoPendente">
    <w:name w:val="Unresolved Mention"/>
    <w:uiPriority w:val="99"/>
    <w:semiHidden/>
    <w:unhideWhenUsed/>
    <w:rsid w:val="00426F64"/>
    <w:rPr>
      <w:color w:val="605E5C"/>
      <w:shd w:val="clear" w:color="auto" w:fill="E1DFDD"/>
    </w:rPr>
  </w:style>
  <w:style w:type="paragraph" w:customStyle="1" w:styleId="Artigo">
    <w:name w:val="#Artigo"/>
    <w:basedOn w:val="Normal"/>
    <w:uiPriority w:val="99"/>
    <w:rsid w:val="00426F64"/>
    <w:pPr>
      <w:widowControl w:val="0"/>
      <w:suppressAutoHyphens/>
      <w:spacing w:after="120"/>
      <w:ind w:firstLine="1134"/>
      <w:jc w:val="both"/>
    </w:pPr>
    <w:rPr>
      <w:rFonts w:ascii="Calibri" w:hAnsi="Calibri"/>
    </w:rPr>
  </w:style>
  <w:style w:type="paragraph" w:styleId="Textodenotaderodap">
    <w:name w:val="footnote text"/>
    <w:basedOn w:val="Normal"/>
    <w:link w:val="TextodenotaderodapChar"/>
    <w:uiPriority w:val="99"/>
    <w:unhideWhenUsed/>
    <w:rsid w:val="0080740D"/>
    <w:rPr>
      <w:sz w:val="20"/>
      <w:szCs w:val="20"/>
    </w:rPr>
  </w:style>
  <w:style w:type="character" w:customStyle="1" w:styleId="TextodenotaderodapChar">
    <w:name w:val="Texto de nota de rodapé Char"/>
    <w:basedOn w:val="Fontepargpadro"/>
    <w:link w:val="Textodenotaderodap"/>
    <w:uiPriority w:val="99"/>
    <w:rsid w:val="0080740D"/>
  </w:style>
  <w:style w:type="character" w:styleId="Refdenotaderodap">
    <w:name w:val="footnote reference"/>
    <w:uiPriority w:val="99"/>
    <w:semiHidden/>
    <w:unhideWhenUsed/>
    <w:rsid w:val="0080740D"/>
    <w:rPr>
      <w:vertAlign w:val="superscript"/>
    </w:rPr>
  </w:style>
  <w:style w:type="character" w:styleId="HiperlinkVisitado">
    <w:name w:val="FollowedHyperlink"/>
    <w:uiPriority w:val="99"/>
    <w:semiHidden/>
    <w:unhideWhenUsed/>
    <w:rsid w:val="007347E7"/>
    <w:rPr>
      <w:color w:val="954F72"/>
      <w:u w:val="single"/>
    </w:rPr>
  </w:style>
  <w:style w:type="character" w:styleId="Forte">
    <w:name w:val="Strong"/>
    <w:uiPriority w:val="22"/>
    <w:qFormat/>
    <w:rsid w:val="00E75B75"/>
    <w:rPr>
      <w:b/>
      <w:bCs/>
    </w:rPr>
  </w:style>
  <w:style w:type="character" w:customStyle="1" w:styleId="Ttulo3Char">
    <w:name w:val="Título 3 Char"/>
    <w:link w:val="Ttulo3"/>
    <w:uiPriority w:val="9"/>
    <w:semiHidden/>
    <w:rsid w:val="00EF1C5F"/>
    <w:rPr>
      <w:rFonts w:ascii="Calibri Light" w:eastAsia="Times New Roman" w:hAnsi="Calibri Light" w:cs="Times New Roman"/>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56250">
      <w:bodyDiv w:val="1"/>
      <w:marLeft w:val="0"/>
      <w:marRight w:val="0"/>
      <w:marTop w:val="0"/>
      <w:marBottom w:val="0"/>
      <w:divBdr>
        <w:top w:val="none" w:sz="0" w:space="0" w:color="auto"/>
        <w:left w:val="none" w:sz="0" w:space="0" w:color="auto"/>
        <w:bottom w:val="none" w:sz="0" w:space="0" w:color="auto"/>
        <w:right w:val="none" w:sz="0" w:space="0" w:color="auto"/>
      </w:divBdr>
    </w:div>
    <w:div w:id="66390381">
      <w:bodyDiv w:val="1"/>
      <w:marLeft w:val="0"/>
      <w:marRight w:val="0"/>
      <w:marTop w:val="0"/>
      <w:marBottom w:val="0"/>
      <w:divBdr>
        <w:top w:val="none" w:sz="0" w:space="0" w:color="auto"/>
        <w:left w:val="none" w:sz="0" w:space="0" w:color="auto"/>
        <w:bottom w:val="none" w:sz="0" w:space="0" w:color="auto"/>
        <w:right w:val="none" w:sz="0" w:space="0" w:color="auto"/>
      </w:divBdr>
      <w:divsChild>
        <w:div w:id="2137137962">
          <w:marLeft w:val="0"/>
          <w:marRight w:val="0"/>
          <w:marTop w:val="0"/>
          <w:marBottom w:val="0"/>
          <w:divBdr>
            <w:top w:val="none" w:sz="0" w:space="0" w:color="auto"/>
            <w:left w:val="none" w:sz="0" w:space="0" w:color="auto"/>
            <w:bottom w:val="none" w:sz="0" w:space="0" w:color="auto"/>
            <w:right w:val="none" w:sz="0" w:space="0" w:color="auto"/>
          </w:divBdr>
          <w:divsChild>
            <w:div w:id="1331980655">
              <w:marLeft w:val="0"/>
              <w:marRight w:val="0"/>
              <w:marTop w:val="0"/>
              <w:marBottom w:val="0"/>
              <w:divBdr>
                <w:top w:val="none" w:sz="0" w:space="0" w:color="auto"/>
                <w:left w:val="none" w:sz="0" w:space="0" w:color="auto"/>
                <w:bottom w:val="none" w:sz="0" w:space="0" w:color="auto"/>
                <w:right w:val="none" w:sz="0" w:space="0" w:color="auto"/>
              </w:divBdr>
              <w:divsChild>
                <w:div w:id="496917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006855">
      <w:bodyDiv w:val="1"/>
      <w:marLeft w:val="0"/>
      <w:marRight w:val="0"/>
      <w:marTop w:val="0"/>
      <w:marBottom w:val="0"/>
      <w:divBdr>
        <w:top w:val="none" w:sz="0" w:space="0" w:color="auto"/>
        <w:left w:val="none" w:sz="0" w:space="0" w:color="auto"/>
        <w:bottom w:val="none" w:sz="0" w:space="0" w:color="auto"/>
        <w:right w:val="none" w:sz="0" w:space="0" w:color="auto"/>
      </w:divBdr>
    </w:div>
    <w:div w:id="127625562">
      <w:bodyDiv w:val="1"/>
      <w:marLeft w:val="0"/>
      <w:marRight w:val="0"/>
      <w:marTop w:val="0"/>
      <w:marBottom w:val="0"/>
      <w:divBdr>
        <w:top w:val="none" w:sz="0" w:space="0" w:color="auto"/>
        <w:left w:val="none" w:sz="0" w:space="0" w:color="auto"/>
        <w:bottom w:val="none" w:sz="0" w:space="0" w:color="auto"/>
        <w:right w:val="none" w:sz="0" w:space="0" w:color="auto"/>
      </w:divBdr>
      <w:divsChild>
        <w:div w:id="220017640">
          <w:marLeft w:val="0"/>
          <w:marRight w:val="0"/>
          <w:marTop w:val="0"/>
          <w:marBottom w:val="0"/>
          <w:divBdr>
            <w:top w:val="none" w:sz="0" w:space="0" w:color="auto"/>
            <w:left w:val="none" w:sz="0" w:space="0" w:color="auto"/>
            <w:bottom w:val="none" w:sz="0" w:space="0" w:color="auto"/>
            <w:right w:val="none" w:sz="0" w:space="0" w:color="auto"/>
          </w:divBdr>
          <w:divsChild>
            <w:div w:id="639578479">
              <w:marLeft w:val="0"/>
              <w:marRight w:val="0"/>
              <w:marTop w:val="0"/>
              <w:marBottom w:val="0"/>
              <w:divBdr>
                <w:top w:val="none" w:sz="0" w:space="0" w:color="auto"/>
                <w:left w:val="none" w:sz="0" w:space="0" w:color="auto"/>
                <w:bottom w:val="none" w:sz="0" w:space="0" w:color="auto"/>
                <w:right w:val="none" w:sz="0" w:space="0" w:color="auto"/>
              </w:divBdr>
            </w:div>
          </w:divsChild>
        </w:div>
        <w:div w:id="846988963">
          <w:marLeft w:val="0"/>
          <w:marRight w:val="0"/>
          <w:marTop w:val="0"/>
          <w:marBottom w:val="0"/>
          <w:divBdr>
            <w:top w:val="none" w:sz="0" w:space="0" w:color="auto"/>
            <w:left w:val="none" w:sz="0" w:space="0" w:color="auto"/>
            <w:bottom w:val="none" w:sz="0" w:space="0" w:color="auto"/>
            <w:right w:val="none" w:sz="0" w:space="0" w:color="auto"/>
          </w:divBdr>
          <w:divsChild>
            <w:div w:id="460464562">
              <w:marLeft w:val="0"/>
              <w:marRight w:val="0"/>
              <w:marTop w:val="0"/>
              <w:marBottom w:val="0"/>
              <w:divBdr>
                <w:top w:val="none" w:sz="0" w:space="0" w:color="auto"/>
                <w:left w:val="none" w:sz="0" w:space="0" w:color="auto"/>
                <w:bottom w:val="none" w:sz="0" w:space="0" w:color="auto"/>
                <w:right w:val="none" w:sz="0" w:space="0" w:color="auto"/>
              </w:divBdr>
            </w:div>
          </w:divsChild>
        </w:div>
        <w:div w:id="904409255">
          <w:marLeft w:val="0"/>
          <w:marRight w:val="0"/>
          <w:marTop w:val="0"/>
          <w:marBottom w:val="0"/>
          <w:divBdr>
            <w:top w:val="none" w:sz="0" w:space="0" w:color="auto"/>
            <w:left w:val="none" w:sz="0" w:space="0" w:color="auto"/>
            <w:bottom w:val="none" w:sz="0" w:space="0" w:color="auto"/>
            <w:right w:val="none" w:sz="0" w:space="0" w:color="auto"/>
          </w:divBdr>
          <w:divsChild>
            <w:div w:id="146631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69243">
      <w:bodyDiv w:val="1"/>
      <w:marLeft w:val="0"/>
      <w:marRight w:val="0"/>
      <w:marTop w:val="0"/>
      <w:marBottom w:val="0"/>
      <w:divBdr>
        <w:top w:val="none" w:sz="0" w:space="0" w:color="auto"/>
        <w:left w:val="none" w:sz="0" w:space="0" w:color="auto"/>
        <w:bottom w:val="none" w:sz="0" w:space="0" w:color="auto"/>
        <w:right w:val="none" w:sz="0" w:space="0" w:color="auto"/>
      </w:divBdr>
    </w:div>
    <w:div w:id="224220575">
      <w:bodyDiv w:val="1"/>
      <w:marLeft w:val="0"/>
      <w:marRight w:val="0"/>
      <w:marTop w:val="0"/>
      <w:marBottom w:val="0"/>
      <w:divBdr>
        <w:top w:val="none" w:sz="0" w:space="0" w:color="auto"/>
        <w:left w:val="none" w:sz="0" w:space="0" w:color="auto"/>
        <w:bottom w:val="none" w:sz="0" w:space="0" w:color="auto"/>
        <w:right w:val="none" w:sz="0" w:space="0" w:color="auto"/>
      </w:divBdr>
    </w:div>
    <w:div w:id="270863090">
      <w:bodyDiv w:val="1"/>
      <w:marLeft w:val="0"/>
      <w:marRight w:val="0"/>
      <w:marTop w:val="0"/>
      <w:marBottom w:val="0"/>
      <w:divBdr>
        <w:top w:val="none" w:sz="0" w:space="0" w:color="auto"/>
        <w:left w:val="none" w:sz="0" w:space="0" w:color="auto"/>
        <w:bottom w:val="none" w:sz="0" w:space="0" w:color="auto"/>
        <w:right w:val="none" w:sz="0" w:space="0" w:color="auto"/>
      </w:divBdr>
    </w:div>
    <w:div w:id="276716298">
      <w:bodyDiv w:val="1"/>
      <w:marLeft w:val="0"/>
      <w:marRight w:val="0"/>
      <w:marTop w:val="0"/>
      <w:marBottom w:val="0"/>
      <w:divBdr>
        <w:top w:val="none" w:sz="0" w:space="0" w:color="auto"/>
        <w:left w:val="none" w:sz="0" w:space="0" w:color="auto"/>
        <w:bottom w:val="none" w:sz="0" w:space="0" w:color="auto"/>
        <w:right w:val="none" w:sz="0" w:space="0" w:color="auto"/>
      </w:divBdr>
      <w:divsChild>
        <w:div w:id="2028750496">
          <w:marLeft w:val="0"/>
          <w:marRight w:val="0"/>
          <w:marTop w:val="0"/>
          <w:marBottom w:val="0"/>
          <w:divBdr>
            <w:top w:val="none" w:sz="0" w:space="0" w:color="auto"/>
            <w:left w:val="none" w:sz="0" w:space="0" w:color="auto"/>
            <w:bottom w:val="none" w:sz="0" w:space="0" w:color="auto"/>
            <w:right w:val="none" w:sz="0" w:space="0" w:color="auto"/>
          </w:divBdr>
          <w:divsChild>
            <w:div w:id="979111353">
              <w:marLeft w:val="0"/>
              <w:marRight w:val="0"/>
              <w:marTop w:val="0"/>
              <w:marBottom w:val="0"/>
              <w:divBdr>
                <w:top w:val="none" w:sz="0" w:space="0" w:color="auto"/>
                <w:left w:val="none" w:sz="0" w:space="0" w:color="auto"/>
                <w:bottom w:val="none" w:sz="0" w:space="0" w:color="auto"/>
                <w:right w:val="none" w:sz="0" w:space="0" w:color="auto"/>
              </w:divBdr>
              <w:divsChild>
                <w:div w:id="346297997">
                  <w:marLeft w:val="0"/>
                  <w:marRight w:val="0"/>
                  <w:marTop w:val="0"/>
                  <w:marBottom w:val="0"/>
                  <w:divBdr>
                    <w:top w:val="none" w:sz="0" w:space="0" w:color="auto"/>
                    <w:left w:val="none" w:sz="0" w:space="0" w:color="auto"/>
                    <w:bottom w:val="none" w:sz="0" w:space="0" w:color="auto"/>
                    <w:right w:val="none" w:sz="0" w:space="0" w:color="auto"/>
                  </w:divBdr>
                  <w:divsChild>
                    <w:div w:id="124807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446138">
      <w:bodyDiv w:val="1"/>
      <w:marLeft w:val="0"/>
      <w:marRight w:val="0"/>
      <w:marTop w:val="0"/>
      <w:marBottom w:val="0"/>
      <w:divBdr>
        <w:top w:val="none" w:sz="0" w:space="0" w:color="auto"/>
        <w:left w:val="none" w:sz="0" w:space="0" w:color="auto"/>
        <w:bottom w:val="none" w:sz="0" w:space="0" w:color="auto"/>
        <w:right w:val="none" w:sz="0" w:space="0" w:color="auto"/>
      </w:divBdr>
    </w:div>
    <w:div w:id="334307404">
      <w:bodyDiv w:val="1"/>
      <w:marLeft w:val="0"/>
      <w:marRight w:val="0"/>
      <w:marTop w:val="0"/>
      <w:marBottom w:val="0"/>
      <w:divBdr>
        <w:top w:val="none" w:sz="0" w:space="0" w:color="auto"/>
        <w:left w:val="none" w:sz="0" w:space="0" w:color="auto"/>
        <w:bottom w:val="none" w:sz="0" w:space="0" w:color="auto"/>
        <w:right w:val="none" w:sz="0" w:space="0" w:color="auto"/>
      </w:divBdr>
      <w:divsChild>
        <w:div w:id="1709144587">
          <w:marLeft w:val="0"/>
          <w:marRight w:val="0"/>
          <w:marTop w:val="0"/>
          <w:marBottom w:val="0"/>
          <w:divBdr>
            <w:top w:val="none" w:sz="0" w:space="0" w:color="auto"/>
            <w:left w:val="none" w:sz="0" w:space="0" w:color="auto"/>
            <w:bottom w:val="none" w:sz="0" w:space="0" w:color="auto"/>
            <w:right w:val="none" w:sz="0" w:space="0" w:color="auto"/>
          </w:divBdr>
          <w:divsChild>
            <w:div w:id="833105052">
              <w:marLeft w:val="0"/>
              <w:marRight w:val="0"/>
              <w:marTop w:val="0"/>
              <w:marBottom w:val="0"/>
              <w:divBdr>
                <w:top w:val="none" w:sz="0" w:space="0" w:color="auto"/>
                <w:left w:val="none" w:sz="0" w:space="0" w:color="auto"/>
                <w:bottom w:val="none" w:sz="0" w:space="0" w:color="auto"/>
                <w:right w:val="none" w:sz="0" w:space="0" w:color="auto"/>
              </w:divBdr>
              <w:divsChild>
                <w:div w:id="111702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362227">
      <w:bodyDiv w:val="1"/>
      <w:marLeft w:val="0"/>
      <w:marRight w:val="0"/>
      <w:marTop w:val="0"/>
      <w:marBottom w:val="0"/>
      <w:divBdr>
        <w:top w:val="none" w:sz="0" w:space="0" w:color="auto"/>
        <w:left w:val="none" w:sz="0" w:space="0" w:color="auto"/>
        <w:bottom w:val="none" w:sz="0" w:space="0" w:color="auto"/>
        <w:right w:val="none" w:sz="0" w:space="0" w:color="auto"/>
      </w:divBdr>
      <w:divsChild>
        <w:div w:id="1742753821">
          <w:marLeft w:val="0"/>
          <w:marRight w:val="0"/>
          <w:marTop w:val="0"/>
          <w:marBottom w:val="0"/>
          <w:divBdr>
            <w:top w:val="none" w:sz="0" w:space="0" w:color="auto"/>
            <w:left w:val="none" w:sz="0" w:space="0" w:color="auto"/>
            <w:bottom w:val="none" w:sz="0" w:space="0" w:color="auto"/>
            <w:right w:val="none" w:sz="0" w:space="0" w:color="auto"/>
          </w:divBdr>
          <w:divsChild>
            <w:div w:id="543559774">
              <w:marLeft w:val="0"/>
              <w:marRight w:val="0"/>
              <w:marTop w:val="0"/>
              <w:marBottom w:val="0"/>
              <w:divBdr>
                <w:top w:val="none" w:sz="0" w:space="0" w:color="auto"/>
                <w:left w:val="none" w:sz="0" w:space="0" w:color="auto"/>
                <w:bottom w:val="none" w:sz="0" w:space="0" w:color="auto"/>
                <w:right w:val="none" w:sz="0" w:space="0" w:color="auto"/>
              </w:divBdr>
              <w:divsChild>
                <w:div w:id="791174682">
                  <w:marLeft w:val="0"/>
                  <w:marRight w:val="0"/>
                  <w:marTop w:val="0"/>
                  <w:marBottom w:val="0"/>
                  <w:divBdr>
                    <w:top w:val="none" w:sz="0" w:space="0" w:color="auto"/>
                    <w:left w:val="none" w:sz="0" w:space="0" w:color="auto"/>
                    <w:bottom w:val="none" w:sz="0" w:space="0" w:color="auto"/>
                    <w:right w:val="none" w:sz="0" w:space="0" w:color="auto"/>
                  </w:divBdr>
                  <w:divsChild>
                    <w:div w:id="186640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9086476">
      <w:bodyDiv w:val="1"/>
      <w:marLeft w:val="0"/>
      <w:marRight w:val="0"/>
      <w:marTop w:val="0"/>
      <w:marBottom w:val="0"/>
      <w:divBdr>
        <w:top w:val="none" w:sz="0" w:space="0" w:color="auto"/>
        <w:left w:val="none" w:sz="0" w:space="0" w:color="auto"/>
        <w:bottom w:val="none" w:sz="0" w:space="0" w:color="auto"/>
        <w:right w:val="none" w:sz="0" w:space="0" w:color="auto"/>
      </w:divBdr>
    </w:div>
    <w:div w:id="373505451">
      <w:bodyDiv w:val="1"/>
      <w:marLeft w:val="0"/>
      <w:marRight w:val="0"/>
      <w:marTop w:val="0"/>
      <w:marBottom w:val="0"/>
      <w:divBdr>
        <w:top w:val="none" w:sz="0" w:space="0" w:color="auto"/>
        <w:left w:val="none" w:sz="0" w:space="0" w:color="auto"/>
        <w:bottom w:val="none" w:sz="0" w:space="0" w:color="auto"/>
        <w:right w:val="none" w:sz="0" w:space="0" w:color="auto"/>
      </w:divBdr>
    </w:div>
    <w:div w:id="435753183">
      <w:bodyDiv w:val="1"/>
      <w:marLeft w:val="0"/>
      <w:marRight w:val="0"/>
      <w:marTop w:val="0"/>
      <w:marBottom w:val="0"/>
      <w:divBdr>
        <w:top w:val="none" w:sz="0" w:space="0" w:color="auto"/>
        <w:left w:val="none" w:sz="0" w:space="0" w:color="auto"/>
        <w:bottom w:val="none" w:sz="0" w:space="0" w:color="auto"/>
        <w:right w:val="none" w:sz="0" w:space="0" w:color="auto"/>
      </w:divBdr>
      <w:divsChild>
        <w:div w:id="2132165327">
          <w:marLeft w:val="0"/>
          <w:marRight w:val="0"/>
          <w:marTop w:val="0"/>
          <w:marBottom w:val="0"/>
          <w:divBdr>
            <w:top w:val="none" w:sz="0" w:space="0" w:color="auto"/>
            <w:left w:val="none" w:sz="0" w:space="0" w:color="auto"/>
            <w:bottom w:val="none" w:sz="0" w:space="0" w:color="auto"/>
            <w:right w:val="none" w:sz="0" w:space="0" w:color="auto"/>
          </w:divBdr>
          <w:divsChild>
            <w:div w:id="997851576">
              <w:marLeft w:val="0"/>
              <w:marRight w:val="0"/>
              <w:marTop w:val="0"/>
              <w:marBottom w:val="0"/>
              <w:divBdr>
                <w:top w:val="none" w:sz="0" w:space="0" w:color="auto"/>
                <w:left w:val="none" w:sz="0" w:space="0" w:color="auto"/>
                <w:bottom w:val="none" w:sz="0" w:space="0" w:color="auto"/>
                <w:right w:val="none" w:sz="0" w:space="0" w:color="auto"/>
              </w:divBdr>
              <w:divsChild>
                <w:div w:id="615066805">
                  <w:marLeft w:val="0"/>
                  <w:marRight w:val="0"/>
                  <w:marTop w:val="0"/>
                  <w:marBottom w:val="0"/>
                  <w:divBdr>
                    <w:top w:val="none" w:sz="0" w:space="0" w:color="auto"/>
                    <w:left w:val="none" w:sz="0" w:space="0" w:color="auto"/>
                    <w:bottom w:val="none" w:sz="0" w:space="0" w:color="auto"/>
                    <w:right w:val="none" w:sz="0" w:space="0" w:color="auto"/>
                  </w:divBdr>
                  <w:divsChild>
                    <w:div w:id="153643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2232186">
      <w:bodyDiv w:val="1"/>
      <w:marLeft w:val="0"/>
      <w:marRight w:val="0"/>
      <w:marTop w:val="0"/>
      <w:marBottom w:val="0"/>
      <w:divBdr>
        <w:top w:val="none" w:sz="0" w:space="0" w:color="auto"/>
        <w:left w:val="none" w:sz="0" w:space="0" w:color="auto"/>
        <w:bottom w:val="none" w:sz="0" w:space="0" w:color="auto"/>
        <w:right w:val="none" w:sz="0" w:space="0" w:color="auto"/>
      </w:divBdr>
    </w:div>
    <w:div w:id="466321405">
      <w:bodyDiv w:val="1"/>
      <w:marLeft w:val="0"/>
      <w:marRight w:val="0"/>
      <w:marTop w:val="0"/>
      <w:marBottom w:val="0"/>
      <w:divBdr>
        <w:top w:val="none" w:sz="0" w:space="0" w:color="auto"/>
        <w:left w:val="none" w:sz="0" w:space="0" w:color="auto"/>
        <w:bottom w:val="none" w:sz="0" w:space="0" w:color="auto"/>
        <w:right w:val="none" w:sz="0" w:space="0" w:color="auto"/>
      </w:divBdr>
      <w:divsChild>
        <w:div w:id="1056467903">
          <w:marLeft w:val="0"/>
          <w:marRight w:val="0"/>
          <w:marTop w:val="0"/>
          <w:marBottom w:val="0"/>
          <w:divBdr>
            <w:top w:val="none" w:sz="0" w:space="0" w:color="auto"/>
            <w:left w:val="none" w:sz="0" w:space="0" w:color="auto"/>
            <w:bottom w:val="none" w:sz="0" w:space="0" w:color="auto"/>
            <w:right w:val="none" w:sz="0" w:space="0" w:color="auto"/>
          </w:divBdr>
          <w:divsChild>
            <w:div w:id="1890415749">
              <w:marLeft w:val="0"/>
              <w:marRight w:val="0"/>
              <w:marTop w:val="0"/>
              <w:marBottom w:val="0"/>
              <w:divBdr>
                <w:top w:val="none" w:sz="0" w:space="0" w:color="auto"/>
                <w:left w:val="none" w:sz="0" w:space="0" w:color="auto"/>
                <w:bottom w:val="none" w:sz="0" w:space="0" w:color="auto"/>
                <w:right w:val="none" w:sz="0" w:space="0" w:color="auto"/>
              </w:divBdr>
              <w:divsChild>
                <w:div w:id="689456102">
                  <w:marLeft w:val="0"/>
                  <w:marRight w:val="0"/>
                  <w:marTop w:val="0"/>
                  <w:marBottom w:val="0"/>
                  <w:divBdr>
                    <w:top w:val="none" w:sz="0" w:space="0" w:color="auto"/>
                    <w:left w:val="none" w:sz="0" w:space="0" w:color="auto"/>
                    <w:bottom w:val="none" w:sz="0" w:space="0" w:color="auto"/>
                    <w:right w:val="none" w:sz="0" w:space="0" w:color="auto"/>
                  </w:divBdr>
                  <w:divsChild>
                    <w:div w:id="947352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9204719">
      <w:bodyDiv w:val="1"/>
      <w:marLeft w:val="0"/>
      <w:marRight w:val="0"/>
      <w:marTop w:val="0"/>
      <w:marBottom w:val="0"/>
      <w:divBdr>
        <w:top w:val="none" w:sz="0" w:space="0" w:color="auto"/>
        <w:left w:val="none" w:sz="0" w:space="0" w:color="auto"/>
        <w:bottom w:val="none" w:sz="0" w:space="0" w:color="auto"/>
        <w:right w:val="none" w:sz="0" w:space="0" w:color="auto"/>
      </w:divBdr>
    </w:div>
    <w:div w:id="519659475">
      <w:bodyDiv w:val="1"/>
      <w:marLeft w:val="0"/>
      <w:marRight w:val="0"/>
      <w:marTop w:val="0"/>
      <w:marBottom w:val="0"/>
      <w:divBdr>
        <w:top w:val="none" w:sz="0" w:space="0" w:color="auto"/>
        <w:left w:val="none" w:sz="0" w:space="0" w:color="auto"/>
        <w:bottom w:val="none" w:sz="0" w:space="0" w:color="auto"/>
        <w:right w:val="none" w:sz="0" w:space="0" w:color="auto"/>
      </w:divBdr>
    </w:div>
    <w:div w:id="546991113">
      <w:bodyDiv w:val="1"/>
      <w:marLeft w:val="0"/>
      <w:marRight w:val="0"/>
      <w:marTop w:val="0"/>
      <w:marBottom w:val="0"/>
      <w:divBdr>
        <w:top w:val="none" w:sz="0" w:space="0" w:color="auto"/>
        <w:left w:val="none" w:sz="0" w:space="0" w:color="auto"/>
        <w:bottom w:val="none" w:sz="0" w:space="0" w:color="auto"/>
        <w:right w:val="none" w:sz="0" w:space="0" w:color="auto"/>
      </w:divBdr>
    </w:div>
    <w:div w:id="574582978">
      <w:bodyDiv w:val="1"/>
      <w:marLeft w:val="0"/>
      <w:marRight w:val="0"/>
      <w:marTop w:val="0"/>
      <w:marBottom w:val="0"/>
      <w:divBdr>
        <w:top w:val="none" w:sz="0" w:space="0" w:color="auto"/>
        <w:left w:val="none" w:sz="0" w:space="0" w:color="auto"/>
        <w:bottom w:val="none" w:sz="0" w:space="0" w:color="auto"/>
        <w:right w:val="none" w:sz="0" w:space="0" w:color="auto"/>
      </w:divBdr>
    </w:div>
    <w:div w:id="601882850">
      <w:bodyDiv w:val="1"/>
      <w:marLeft w:val="0"/>
      <w:marRight w:val="0"/>
      <w:marTop w:val="0"/>
      <w:marBottom w:val="0"/>
      <w:divBdr>
        <w:top w:val="none" w:sz="0" w:space="0" w:color="auto"/>
        <w:left w:val="none" w:sz="0" w:space="0" w:color="auto"/>
        <w:bottom w:val="none" w:sz="0" w:space="0" w:color="auto"/>
        <w:right w:val="none" w:sz="0" w:space="0" w:color="auto"/>
      </w:divBdr>
    </w:div>
    <w:div w:id="638729005">
      <w:bodyDiv w:val="1"/>
      <w:marLeft w:val="0"/>
      <w:marRight w:val="0"/>
      <w:marTop w:val="0"/>
      <w:marBottom w:val="0"/>
      <w:divBdr>
        <w:top w:val="none" w:sz="0" w:space="0" w:color="auto"/>
        <w:left w:val="none" w:sz="0" w:space="0" w:color="auto"/>
        <w:bottom w:val="none" w:sz="0" w:space="0" w:color="auto"/>
        <w:right w:val="none" w:sz="0" w:space="0" w:color="auto"/>
      </w:divBdr>
    </w:div>
    <w:div w:id="791048262">
      <w:bodyDiv w:val="1"/>
      <w:marLeft w:val="0"/>
      <w:marRight w:val="0"/>
      <w:marTop w:val="0"/>
      <w:marBottom w:val="0"/>
      <w:divBdr>
        <w:top w:val="none" w:sz="0" w:space="0" w:color="auto"/>
        <w:left w:val="none" w:sz="0" w:space="0" w:color="auto"/>
        <w:bottom w:val="none" w:sz="0" w:space="0" w:color="auto"/>
        <w:right w:val="none" w:sz="0" w:space="0" w:color="auto"/>
      </w:divBdr>
    </w:div>
    <w:div w:id="795216729">
      <w:bodyDiv w:val="1"/>
      <w:marLeft w:val="0"/>
      <w:marRight w:val="0"/>
      <w:marTop w:val="0"/>
      <w:marBottom w:val="0"/>
      <w:divBdr>
        <w:top w:val="none" w:sz="0" w:space="0" w:color="auto"/>
        <w:left w:val="none" w:sz="0" w:space="0" w:color="auto"/>
        <w:bottom w:val="none" w:sz="0" w:space="0" w:color="auto"/>
        <w:right w:val="none" w:sz="0" w:space="0" w:color="auto"/>
      </w:divBdr>
    </w:div>
    <w:div w:id="803045337">
      <w:bodyDiv w:val="1"/>
      <w:marLeft w:val="0"/>
      <w:marRight w:val="0"/>
      <w:marTop w:val="0"/>
      <w:marBottom w:val="0"/>
      <w:divBdr>
        <w:top w:val="none" w:sz="0" w:space="0" w:color="auto"/>
        <w:left w:val="none" w:sz="0" w:space="0" w:color="auto"/>
        <w:bottom w:val="none" w:sz="0" w:space="0" w:color="auto"/>
        <w:right w:val="none" w:sz="0" w:space="0" w:color="auto"/>
      </w:divBdr>
    </w:div>
    <w:div w:id="808089445">
      <w:bodyDiv w:val="1"/>
      <w:marLeft w:val="0"/>
      <w:marRight w:val="0"/>
      <w:marTop w:val="0"/>
      <w:marBottom w:val="0"/>
      <w:divBdr>
        <w:top w:val="none" w:sz="0" w:space="0" w:color="auto"/>
        <w:left w:val="none" w:sz="0" w:space="0" w:color="auto"/>
        <w:bottom w:val="none" w:sz="0" w:space="0" w:color="auto"/>
        <w:right w:val="none" w:sz="0" w:space="0" w:color="auto"/>
      </w:divBdr>
    </w:div>
    <w:div w:id="830678627">
      <w:bodyDiv w:val="1"/>
      <w:marLeft w:val="0"/>
      <w:marRight w:val="0"/>
      <w:marTop w:val="0"/>
      <w:marBottom w:val="0"/>
      <w:divBdr>
        <w:top w:val="none" w:sz="0" w:space="0" w:color="auto"/>
        <w:left w:val="none" w:sz="0" w:space="0" w:color="auto"/>
        <w:bottom w:val="none" w:sz="0" w:space="0" w:color="auto"/>
        <w:right w:val="none" w:sz="0" w:space="0" w:color="auto"/>
      </w:divBdr>
    </w:div>
    <w:div w:id="889809473">
      <w:bodyDiv w:val="1"/>
      <w:marLeft w:val="0"/>
      <w:marRight w:val="0"/>
      <w:marTop w:val="0"/>
      <w:marBottom w:val="0"/>
      <w:divBdr>
        <w:top w:val="none" w:sz="0" w:space="0" w:color="auto"/>
        <w:left w:val="none" w:sz="0" w:space="0" w:color="auto"/>
        <w:bottom w:val="none" w:sz="0" w:space="0" w:color="auto"/>
        <w:right w:val="none" w:sz="0" w:space="0" w:color="auto"/>
      </w:divBdr>
    </w:div>
    <w:div w:id="908346245">
      <w:bodyDiv w:val="1"/>
      <w:marLeft w:val="0"/>
      <w:marRight w:val="0"/>
      <w:marTop w:val="0"/>
      <w:marBottom w:val="0"/>
      <w:divBdr>
        <w:top w:val="none" w:sz="0" w:space="0" w:color="auto"/>
        <w:left w:val="none" w:sz="0" w:space="0" w:color="auto"/>
        <w:bottom w:val="none" w:sz="0" w:space="0" w:color="auto"/>
        <w:right w:val="none" w:sz="0" w:space="0" w:color="auto"/>
      </w:divBdr>
      <w:divsChild>
        <w:div w:id="1100373997">
          <w:marLeft w:val="0"/>
          <w:marRight w:val="0"/>
          <w:marTop w:val="0"/>
          <w:marBottom w:val="0"/>
          <w:divBdr>
            <w:top w:val="none" w:sz="0" w:space="0" w:color="auto"/>
            <w:left w:val="none" w:sz="0" w:space="0" w:color="auto"/>
            <w:bottom w:val="none" w:sz="0" w:space="0" w:color="auto"/>
            <w:right w:val="none" w:sz="0" w:space="0" w:color="auto"/>
          </w:divBdr>
          <w:divsChild>
            <w:div w:id="69426421">
              <w:marLeft w:val="0"/>
              <w:marRight w:val="0"/>
              <w:marTop w:val="0"/>
              <w:marBottom w:val="0"/>
              <w:divBdr>
                <w:top w:val="none" w:sz="0" w:space="0" w:color="auto"/>
                <w:left w:val="none" w:sz="0" w:space="0" w:color="auto"/>
                <w:bottom w:val="none" w:sz="0" w:space="0" w:color="auto"/>
                <w:right w:val="none" w:sz="0" w:space="0" w:color="auto"/>
              </w:divBdr>
              <w:divsChild>
                <w:div w:id="1918392546">
                  <w:marLeft w:val="0"/>
                  <w:marRight w:val="0"/>
                  <w:marTop w:val="0"/>
                  <w:marBottom w:val="0"/>
                  <w:divBdr>
                    <w:top w:val="none" w:sz="0" w:space="0" w:color="auto"/>
                    <w:left w:val="none" w:sz="0" w:space="0" w:color="auto"/>
                    <w:bottom w:val="none" w:sz="0" w:space="0" w:color="auto"/>
                    <w:right w:val="none" w:sz="0" w:space="0" w:color="auto"/>
                  </w:divBdr>
                  <w:divsChild>
                    <w:div w:id="176792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616797">
      <w:bodyDiv w:val="1"/>
      <w:marLeft w:val="0"/>
      <w:marRight w:val="0"/>
      <w:marTop w:val="0"/>
      <w:marBottom w:val="0"/>
      <w:divBdr>
        <w:top w:val="none" w:sz="0" w:space="0" w:color="auto"/>
        <w:left w:val="none" w:sz="0" w:space="0" w:color="auto"/>
        <w:bottom w:val="none" w:sz="0" w:space="0" w:color="auto"/>
        <w:right w:val="none" w:sz="0" w:space="0" w:color="auto"/>
      </w:divBdr>
      <w:divsChild>
        <w:div w:id="161969211">
          <w:marLeft w:val="0"/>
          <w:marRight w:val="0"/>
          <w:marTop w:val="0"/>
          <w:marBottom w:val="0"/>
          <w:divBdr>
            <w:top w:val="none" w:sz="0" w:space="0" w:color="auto"/>
            <w:left w:val="none" w:sz="0" w:space="0" w:color="auto"/>
            <w:bottom w:val="none" w:sz="0" w:space="0" w:color="auto"/>
            <w:right w:val="none" w:sz="0" w:space="0" w:color="auto"/>
          </w:divBdr>
          <w:divsChild>
            <w:div w:id="1026638980">
              <w:marLeft w:val="0"/>
              <w:marRight w:val="0"/>
              <w:marTop w:val="0"/>
              <w:marBottom w:val="0"/>
              <w:divBdr>
                <w:top w:val="none" w:sz="0" w:space="0" w:color="auto"/>
                <w:left w:val="none" w:sz="0" w:space="0" w:color="auto"/>
                <w:bottom w:val="none" w:sz="0" w:space="0" w:color="auto"/>
                <w:right w:val="none" w:sz="0" w:space="0" w:color="auto"/>
              </w:divBdr>
              <w:divsChild>
                <w:div w:id="1719357724">
                  <w:marLeft w:val="0"/>
                  <w:marRight w:val="0"/>
                  <w:marTop w:val="0"/>
                  <w:marBottom w:val="0"/>
                  <w:divBdr>
                    <w:top w:val="none" w:sz="0" w:space="0" w:color="auto"/>
                    <w:left w:val="none" w:sz="0" w:space="0" w:color="auto"/>
                    <w:bottom w:val="none" w:sz="0" w:space="0" w:color="auto"/>
                    <w:right w:val="none" w:sz="0" w:space="0" w:color="auto"/>
                  </w:divBdr>
                  <w:divsChild>
                    <w:div w:id="84404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9756987">
      <w:bodyDiv w:val="1"/>
      <w:marLeft w:val="0"/>
      <w:marRight w:val="0"/>
      <w:marTop w:val="0"/>
      <w:marBottom w:val="0"/>
      <w:divBdr>
        <w:top w:val="none" w:sz="0" w:space="0" w:color="auto"/>
        <w:left w:val="none" w:sz="0" w:space="0" w:color="auto"/>
        <w:bottom w:val="none" w:sz="0" w:space="0" w:color="auto"/>
        <w:right w:val="none" w:sz="0" w:space="0" w:color="auto"/>
      </w:divBdr>
    </w:div>
    <w:div w:id="939877311">
      <w:bodyDiv w:val="1"/>
      <w:marLeft w:val="0"/>
      <w:marRight w:val="0"/>
      <w:marTop w:val="0"/>
      <w:marBottom w:val="0"/>
      <w:divBdr>
        <w:top w:val="none" w:sz="0" w:space="0" w:color="auto"/>
        <w:left w:val="none" w:sz="0" w:space="0" w:color="auto"/>
        <w:bottom w:val="none" w:sz="0" w:space="0" w:color="auto"/>
        <w:right w:val="none" w:sz="0" w:space="0" w:color="auto"/>
      </w:divBdr>
    </w:div>
    <w:div w:id="995301760">
      <w:bodyDiv w:val="1"/>
      <w:marLeft w:val="0"/>
      <w:marRight w:val="0"/>
      <w:marTop w:val="0"/>
      <w:marBottom w:val="0"/>
      <w:divBdr>
        <w:top w:val="none" w:sz="0" w:space="0" w:color="auto"/>
        <w:left w:val="none" w:sz="0" w:space="0" w:color="auto"/>
        <w:bottom w:val="none" w:sz="0" w:space="0" w:color="auto"/>
        <w:right w:val="none" w:sz="0" w:space="0" w:color="auto"/>
      </w:divBdr>
    </w:div>
    <w:div w:id="1079861697">
      <w:bodyDiv w:val="1"/>
      <w:marLeft w:val="0"/>
      <w:marRight w:val="0"/>
      <w:marTop w:val="0"/>
      <w:marBottom w:val="0"/>
      <w:divBdr>
        <w:top w:val="none" w:sz="0" w:space="0" w:color="auto"/>
        <w:left w:val="none" w:sz="0" w:space="0" w:color="auto"/>
        <w:bottom w:val="none" w:sz="0" w:space="0" w:color="auto"/>
        <w:right w:val="none" w:sz="0" w:space="0" w:color="auto"/>
      </w:divBdr>
    </w:div>
    <w:div w:id="1113867778">
      <w:bodyDiv w:val="1"/>
      <w:marLeft w:val="0"/>
      <w:marRight w:val="0"/>
      <w:marTop w:val="0"/>
      <w:marBottom w:val="0"/>
      <w:divBdr>
        <w:top w:val="none" w:sz="0" w:space="0" w:color="auto"/>
        <w:left w:val="none" w:sz="0" w:space="0" w:color="auto"/>
        <w:bottom w:val="none" w:sz="0" w:space="0" w:color="auto"/>
        <w:right w:val="none" w:sz="0" w:space="0" w:color="auto"/>
      </w:divBdr>
      <w:divsChild>
        <w:div w:id="16781938">
          <w:marLeft w:val="0"/>
          <w:marRight w:val="0"/>
          <w:marTop w:val="0"/>
          <w:marBottom w:val="0"/>
          <w:divBdr>
            <w:top w:val="none" w:sz="0" w:space="0" w:color="auto"/>
            <w:left w:val="none" w:sz="0" w:space="0" w:color="auto"/>
            <w:bottom w:val="none" w:sz="0" w:space="0" w:color="auto"/>
            <w:right w:val="none" w:sz="0" w:space="0" w:color="auto"/>
          </w:divBdr>
        </w:div>
        <w:div w:id="19284082">
          <w:marLeft w:val="0"/>
          <w:marRight w:val="0"/>
          <w:marTop w:val="0"/>
          <w:marBottom w:val="0"/>
          <w:divBdr>
            <w:top w:val="none" w:sz="0" w:space="0" w:color="auto"/>
            <w:left w:val="none" w:sz="0" w:space="0" w:color="auto"/>
            <w:bottom w:val="none" w:sz="0" w:space="0" w:color="auto"/>
            <w:right w:val="none" w:sz="0" w:space="0" w:color="auto"/>
          </w:divBdr>
        </w:div>
        <w:div w:id="448359118">
          <w:marLeft w:val="0"/>
          <w:marRight w:val="0"/>
          <w:marTop w:val="0"/>
          <w:marBottom w:val="0"/>
          <w:divBdr>
            <w:top w:val="none" w:sz="0" w:space="0" w:color="auto"/>
            <w:left w:val="none" w:sz="0" w:space="0" w:color="auto"/>
            <w:bottom w:val="none" w:sz="0" w:space="0" w:color="auto"/>
            <w:right w:val="none" w:sz="0" w:space="0" w:color="auto"/>
          </w:divBdr>
        </w:div>
        <w:div w:id="470556455">
          <w:marLeft w:val="0"/>
          <w:marRight w:val="0"/>
          <w:marTop w:val="0"/>
          <w:marBottom w:val="0"/>
          <w:divBdr>
            <w:top w:val="none" w:sz="0" w:space="0" w:color="auto"/>
            <w:left w:val="none" w:sz="0" w:space="0" w:color="auto"/>
            <w:bottom w:val="none" w:sz="0" w:space="0" w:color="auto"/>
            <w:right w:val="none" w:sz="0" w:space="0" w:color="auto"/>
          </w:divBdr>
        </w:div>
        <w:div w:id="558907696">
          <w:marLeft w:val="0"/>
          <w:marRight w:val="0"/>
          <w:marTop w:val="0"/>
          <w:marBottom w:val="0"/>
          <w:divBdr>
            <w:top w:val="none" w:sz="0" w:space="0" w:color="auto"/>
            <w:left w:val="none" w:sz="0" w:space="0" w:color="auto"/>
            <w:bottom w:val="none" w:sz="0" w:space="0" w:color="auto"/>
            <w:right w:val="none" w:sz="0" w:space="0" w:color="auto"/>
          </w:divBdr>
        </w:div>
        <w:div w:id="1419206455">
          <w:marLeft w:val="0"/>
          <w:marRight w:val="0"/>
          <w:marTop w:val="0"/>
          <w:marBottom w:val="0"/>
          <w:divBdr>
            <w:top w:val="none" w:sz="0" w:space="0" w:color="auto"/>
            <w:left w:val="none" w:sz="0" w:space="0" w:color="auto"/>
            <w:bottom w:val="none" w:sz="0" w:space="0" w:color="auto"/>
            <w:right w:val="none" w:sz="0" w:space="0" w:color="auto"/>
          </w:divBdr>
        </w:div>
        <w:div w:id="1471243725">
          <w:marLeft w:val="0"/>
          <w:marRight w:val="0"/>
          <w:marTop w:val="0"/>
          <w:marBottom w:val="0"/>
          <w:divBdr>
            <w:top w:val="none" w:sz="0" w:space="0" w:color="auto"/>
            <w:left w:val="none" w:sz="0" w:space="0" w:color="auto"/>
            <w:bottom w:val="none" w:sz="0" w:space="0" w:color="auto"/>
            <w:right w:val="none" w:sz="0" w:space="0" w:color="auto"/>
          </w:divBdr>
        </w:div>
        <w:div w:id="1698390972">
          <w:marLeft w:val="0"/>
          <w:marRight w:val="0"/>
          <w:marTop w:val="0"/>
          <w:marBottom w:val="0"/>
          <w:divBdr>
            <w:top w:val="none" w:sz="0" w:space="0" w:color="auto"/>
            <w:left w:val="none" w:sz="0" w:space="0" w:color="auto"/>
            <w:bottom w:val="none" w:sz="0" w:space="0" w:color="auto"/>
            <w:right w:val="none" w:sz="0" w:space="0" w:color="auto"/>
          </w:divBdr>
        </w:div>
        <w:div w:id="1750036813">
          <w:marLeft w:val="0"/>
          <w:marRight w:val="0"/>
          <w:marTop w:val="0"/>
          <w:marBottom w:val="0"/>
          <w:divBdr>
            <w:top w:val="none" w:sz="0" w:space="0" w:color="auto"/>
            <w:left w:val="none" w:sz="0" w:space="0" w:color="auto"/>
            <w:bottom w:val="none" w:sz="0" w:space="0" w:color="auto"/>
            <w:right w:val="none" w:sz="0" w:space="0" w:color="auto"/>
          </w:divBdr>
        </w:div>
      </w:divsChild>
    </w:div>
    <w:div w:id="1166097030">
      <w:bodyDiv w:val="1"/>
      <w:marLeft w:val="0"/>
      <w:marRight w:val="0"/>
      <w:marTop w:val="0"/>
      <w:marBottom w:val="0"/>
      <w:divBdr>
        <w:top w:val="none" w:sz="0" w:space="0" w:color="auto"/>
        <w:left w:val="none" w:sz="0" w:space="0" w:color="auto"/>
        <w:bottom w:val="none" w:sz="0" w:space="0" w:color="auto"/>
        <w:right w:val="none" w:sz="0" w:space="0" w:color="auto"/>
      </w:divBdr>
      <w:divsChild>
        <w:div w:id="1872180042">
          <w:marLeft w:val="0"/>
          <w:marRight w:val="0"/>
          <w:marTop w:val="0"/>
          <w:marBottom w:val="0"/>
          <w:divBdr>
            <w:top w:val="none" w:sz="0" w:space="0" w:color="auto"/>
            <w:left w:val="none" w:sz="0" w:space="0" w:color="auto"/>
            <w:bottom w:val="none" w:sz="0" w:space="0" w:color="auto"/>
            <w:right w:val="none" w:sz="0" w:space="0" w:color="auto"/>
          </w:divBdr>
          <w:divsChild>
            <w:div w:id="1326325615">
              <w:marLeft w:val="0"/>
              <w:marRight w:val="0"/>
              <w:marTop w:val="0"/>
              <w:marBottom w:val="0"/>
              <w:divBdr>
                <w:top w:val="none" w:sz="0" w:space="0" w:color="auto"/>
                <w:left w:val="none" w:sz="0" w:space="0" w:color="auto"/>
                <w:bottom w:val="none" w:sz="0" w:space="0" w:color="auto"/>
                <w:right w:val="none" w:sz="0" w:space="0" w:color="auto"/>
              </w:divBdr>
              <w:divsChild>
                <w:div w:id="181706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0291950">
      <w:bodyDiv w:val="1"/>
      <w:marLeft w:val="0"/>
      <w:marRight w:val="0"/>
      <w:marTop w:val="0"/>
      <w:marBottom w:val="0"/>
      <w:divBdr>
        <w:top w:val="none" w:sz="0" w:space="0" w:color="auto"/>
        <w:left w:val="none" w:sz="0" w:space="0" w:color="auto"/>
        <w:bottom w:val="none" w:sz="0" w:space="0" w:color="auto"/>
        <w:right w:val="none" w:sz="0" w:space="0" w:color="auto"/>
      </w:divBdr>
    </w:div>
    <w:div w:id="1261336800">
      <w:bodyDiv w:val="1"/>
      <w:marLeft w:val="0"/>
      <w:marRight w:val="0"/>
      <w:marTop w:val="0"/>
      <w:marBottom w:val="0"/>
      <w:divBdr>
        <w:top w:val="none" w:sz="0" w:space="0" w:color="auto"/>
        <w:left w:val="none" w:sz="0" w:space="0" w:color="auto"/>
        <w:bottom w:val="none" w:sz="0" w:space="0" w:color="auto"/>
        <w:right w:val="none" w:sz="0" w:space="0" w:color="auto"/>
      </w:divBdr>
      <w:divsChild>
        <w:div w:id="226065095">
          <w:marLeft w:val="0"/>
          <w:marRight w:val="0"/>
          <w:marTop w:val="0"/>
          <w:marBottom w:val="0"/>
          <w:divBdr>
            <w:top w:val="none" w:sz="0" w:space="0" w:color="auto"/>
            <w:left w:val="none" w:sz="0" w:space="0" w:color="auto"/>
            <w:bottom w:val="none" w:sz="0" w:space="0" w:color="auto"/>
            <w:right w:val="none" w:sz="0" w:space="0" w:color="auto"/>
          </w:divBdr>
          <w:divsChild>
            <w:div w:id="803741431">
              <w:marLeft w:val="0"/>
              <w:marRight w:val="0"/>
              <w:marTop w:val="0"/>
              <w:marBottom w:val="0"/>
              <w:divBdr>
                <w:top w:val="none" w:sz="0" w:space="0" w:color="auto"/>
                <w:left w:val="none" w:sz="0" w:space="0" w:color="auto"/>
                <w:bottom w:val="none" w:sz="0" w:space="0" w:color="auto"/>
                <w:right w:val="none" w:sz="0" w:space="0" w:color="auto"/>
              </w:divBdr>
              <w:divsChild>
                <w:div w:id="249127013">
                  <w:marLeft w:val="0"/>
                  <w:marRight w:val="0"/>
                  <w:marTop w:val="0"/>
                  <w:marBottom w:val="0"/>
                  <w:divBdr>
                    <w:top w:val="none" w:sz="0" w:space="0" w:color="auto"/>
                    <w:left w:val="none" w:sz="0" w:space="0" w:color="auto"/>
                    <w:bottom w:val="none" w:sz="0" w:space="0" w:color="auto"/>
                    <w:right w:val="none" w:sz="0" w:space="0" w:color="auto"/>
                  </w:divBdr>
                  <w:divsChild>
                    <w:div w:id="14073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6550213">
      <w:bodyDiv w:val="1"/>
      <w:marLeft w:val="0"/>
      <w:marRight w:val="0"/>
      <w:marTop w:val="0"/>
      <w:marBottom w:val="0"/>
      <w:divBdr>
        <w:top w:val="none" w:sz="0" w:space="0" w:color="auto"/>
        <w:left w:val="none" w:sz="0" w:space="0" w:color="auto"/>
        <w:bottom w:val="none" w:sz="0" w:space="0" w:color="auto"/>
        <w:right w:val="none" w:sz="0" w:space="0" w:color="auto"/>
      </w:divBdr>
      <w:divsChild>
        <w:div w:id="1246064143">
          <w:marLeft w:val="0"/>
          <w:marRight w:val="0"/>
          <w:marTop w:val="0"/>
          <w:marBottom w:val="0"/>
          <w:divBdr>
            <w:top w:val="none" w:sz="0" w:space="0" w:color="auto"/>
            <w:left w:val="none" w:sz="0" w:space="0" w:color="auto"/>
            <w:bottom w:val="none" w:sz="0" w:space="0" w:color="auto"/>
            <w:right w:val="none" w:sz="0" w:space="0" w:color="auto"/>
          </w:divBdr>
          <w:divsChild>
            <w:div w:id="1941256468">
              <w:marLeft w:val="0"/>
              <w:marRight w:val="0"/>
              <w:marTop w:val="0"/>
              <w:marBottom w:val="0"/>
              <w:divBdr>
                <w:top w:val="none" w:sz="0" w:space="0" w:color="auto"/>
                <w:left w:val="none" w:sz="0" w:space="0" w:color="auto"/>
                <w:bottom w:val="none" w:sz="0" w:space="0" w:color="auto"/>
                <w:right w:val="none" w:sz="0" w:space="0" w:color="auto"/>
              </w:divBdr>
              <w:divsChild>
                <w:div w:id="1705640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185572">
      <w:bodyDiv w:val="1"/>
      <w:marLeft w:val="0"/>
      <w:marRight w:val="0"/>
      <w:marTop w:val="0"/>
      <w:marBottom w:val="0"/>
      <w:divBdr>
        <w:top w:val="none" w:sz="0" w:space="0" w:color="auto"/>
        <w:left w:val="none" w:sz="0" w:space="0" w:color="auto"/>
        <w:bottom w:val="none" w:sz="0" w:space="0" w:color="auto"/>
        <w:right w:val="none" w:sz="0" w:space="0" w:color="auto"/>
      </w:divBdr>
    </w:div>
    <w:div w:id="1336811120">
      <w:bodyDiv w:val="1"/>
      <w:marLeft w:val="0"/>
      <w:marRight w:val="0"/>
      <w:marTop w:val="0"/>
      <w:marBottom w:val="0"/>
      <w:divBdr>
        <w:top w:val="none" w:sz="0" w:space="0" w:color="auto"/>
        <w:left w:val="none" w:sz="0" w:space="0" w:color="auto"/>
        <w:bottom w:val="none" w:sz="0" w:space="0" w:color="auto"/>
        <w:right w:val="none" w:sz="0" w:space="0" w:color="auto"/>
      </w:divBdr>
    </w:div>
    <w:div w:id="1427530991">
      <w:bodyDiv w:val="1"/>
      <w:marLeft w:val="0"/>
      <w:marRight w:val="0"/>
      <w:marTop w:val="0"/>
      <w:marBottom w:val="0"/>
      <w:divBdr>
        <w:top w:val="none" w:sz="0" w:space="0" w:color="auto"/>
        <w:left w:val="none" w:sz="0" w:space="0" w:color="auto"/>
        <w:bottom w:val="none" w:sz="0" w:space="0" w:color="auto"/>
        <w:right w:val="none" w:sz="0" w:space="0" w:color="auto"/>
      </w:divBdr>
    </w:div>
    <w:div w:id="1477991547">
      <w:bodyDiv w:val="1"/>
      <w:marLeft w:val="0"/>
      <w:marRight w:val="0"/>
      <w:marTop w:val="0"/>
      <w:marBottom w:val="0"/>
      <w:divBdr>
        <w:top w:val="none" w:sz="0" w:space="0" w:color="auto"/>
        <w:left w:val="none" w:sz="0" w:space="0" w:color="auto"/>
        <w:bottom w:val="none" w:sz="0" w:space="0" w:color="auto"/>
        <w:right w:val="none" w:sz="0" w:space="0" w:color="auto"/>
      </w:divBdr>
      <w:divsChild>
        <w:div w:id="113712643">
          <w:marLeft w:val="0"/>
          <w:marRight w:val="0"/>
          <w:marTop w:val="0"/>
          <w:marBottom w:val="0"/>
          <w:divBdr>
            <w:top w:val="none" w:sz="0" w:space="0" w:color="auto"/>
            <w:left w:val="none" w:sz="0" w:space="0" w:color="auto"/>
            <w:bottom w:val="none" w:sz="0" w:space="0" w:color="auto"/>
            <w:right w:val="none" w:sz="0" w:space="0" w:color="auto"/>
          </w:divBdr>
          <w:divsChild>
            <w:div w:id="152458213">
              <w:marLeft w:val="0"/>
              <w:marRight w:val="0"/>
              <w:marTop w:val="0"/>
              <w:marBottom w:val="0"/>
              <w:divBdr>
                <w:top w:val="none" w:sz="0" w:space="0" w:color="auto"/>
                <w:left w:val="none" w:sz="0" w:space="0" w:color="auto"/>
                <w:bottom w:val="none" w:sz="0" w:space="0" w:color="auto"/>
                <w:right w:val="none" w:sz="0" w:space="0" w:color="auto"/>
              </w:divBdr>
              <w:divsChild>
                <w:div w:id="1880389610">
                  <w:marLeft w:val="0"/>
                  <w:marRight w:val="0"/>
                  <w:marTop w:val="0"/>
                  <w:marBottom w:val="0"/>
                  <w:divBdr>
                    <w:top w:val="none" w:sz="0" w:space="0" w:color="auto"/>
                    <w:left w:val="none" w:sz="0" w:space="0" w:color="auto"/>
                    <w:bottom w:val="none" w:sz="0" w:space="0" w:color="auto"/>
                    <w:right w:val="none" w:sz="0" w:space="0" w:color="auto"/>
                  </w:divBdr>
                  <w:divsChild>
                    <w:div w:id="11556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3255685">
      <w:bodyDiv w:val="1"/>
      <w:marLeft w:val="0"/>
      <w:marRight w:val="0"/>
      <w:marTop w:val="0"/>
      <w:marBottom w:val="0"/>
      <w:divBdr>
        <w:top w:val="none" w:sz="0" w:space="0" w:color="auto"/>
        <w:left w:val="none" w:sz="0" w:space="0" w:color="auto"/>
        <w:bottom w:val="none" w:sz="0" w:space="0" w:color="auto"/>
        <w:right w:val="none" w:sz="0" w:space="0" w:color="auto"/>
      </w:divBdr>
    </w:div>
    <w:div w:id="1499419840">
      <w:bodyDiv w:val="1"/>
      <w:marLeft w:val="0"/>
      <w:marRight w:val="0"/>
      <w:marTop w:val="0"/>
      <w:marBottom w:val="0"/>
      <w:divBdr>
        <w:top w:val="none" w:sz="0" w:space="0" w:color="auto"/>
        <w:left w:val="none" w:sz="0" w:space="0" w:color="auto"/>
        <w:bottom w:val="none" w:sz="0" w:space="0" w:color="auto"/>
        <w:right w:val="none" w:sz="0" w:space="0" w:color="auto"/>
      </w:divBdr>
    </w:div>
    <w:div w:id="1550220271">
      <w:bodyDiv w:val="1"/>
      <w:marLeft w:val="0"/>
      <w:marRight w:val="0"/>
      <w:marTop w:val="0"/>
      <w:marBottom w:val="0"/>
      <w:divBdr>
        <w:top w:val="none" w:sz="0" w:space="0" w:color="auto"/>
        <w:left w:val="none" w:sz="0" w:space="0" w:color="auto"/>
        <w:bottom w:val="none" w:sz="0" w:space="0" w:color="auto"/>
        <w:right w:val="none" w:sz="0" w:space="0" w:color="auto"/>
      </w:divBdr>
    </w:div>
    <w:div w:id="1599484417">
      <w:bodyDiv w:val="1"/>
      <w:marLeft w:val="0"/>
      <w:marRight w:val="0"/>
      <w:marTop w:val="0"/>
      <w:marBottom w:val="0"/>
      <w:divBdr>
        <w:top w:val="none" w:sz="0" w:space="0" w:color="auto"/>
        <w:left w:val="none" w:sz="0" w:space="0" w:color="auto"/>
        <w:bottom w:val="none" w:sz="0" w:space="0" w:color="auto"/>
        <w:right w:val="none" w:sz="0" w:space="0" w:color="auto"/>
      </w:divBdr>
    </w:div>
    <w:div w:id="1608535676">
      <w:bodyDiv w:val="1"/>
      <w:marLeft w:val="0"/>
      <w:marRight w:val="0"/>
      <w:marTop w:val="0"/>
      <w:marBottom w:val="0"/>
      <w:divBdr>
        <w:top w:val="none" w:sz="0" w:space="0" w:color="auto"/>
        <w:left w:val="none" w:sz="0" w:space="0" w:color="auto"/>
        <w:bottom w:val="none" w:sz="0" w:space="0" w:color="auto"/>
        <w:right w:val="none" w:sz="0" w:space="0" w:color="auto"/>
      </w:divBdr>
      <w:divsChild>
        <w:div w:id="1860045554">
          <w:marLeft w:val="0"/>
          <w:marRight w:val="0"/>
          <w:marTop w:val="0"/>
          <w:marBottom w:val="0"/>
          <w:divBdr>
            <w:top w:val="none" w:sz="0" w:space="0" w:color="auto"/>
            <w:left w:val="none" w:sz="0" w:space="0" w:color="auto"/>
            <w:bottom w:val="none" w:sz="0" w:space="0" w:color="auto"/>
            <w:right w:val="none" w:sz="0" w:space="0" w:color="auto"/>
          </w:divBdr>
          <w:divsChild>
            <w:div w:id="647394161">
              <w:marLeft w:val="0"/>
              <w:marRight w:val="0"/>
              <w:marTop w:val="0"/>
              <w:marBottom w:val="0"/>
              <w:divBdr>
                <w:top w:val="none" w:sz="0" w:space="0" w:color="auto"/>
                <w:left w:val="none" w:sz="0" w:space="0" w:color="auto"/>
                <w:bottom w:val="none" w:sz="0" w:space="0" w:color="auto"/>
                <w:right w:val="none" w:sz="0" w:space="0" w:color="auto"/>
              </w:divBdr>
              <w:divsChild>
                <w:div w:id="1264343791">
                  <w:marLeft w:val="0"/>
                  <w:marRight w:val="0"/>
                  <w:marTop w:val="0"/>
                  <w:marBottom w:val="0"/>
                  <w:divBdr>
                    <w:top w:val="none" w:sz="0" w:space="0" w:color="auto"/>
                    <w:left w:val="none" w:sz="0" w:space="0" w:color="auto"/>
                    <w:bottom w:val="none" w:sz="0" w:space="0" w:color="auto"/>
                    <w:right w:val="none" w:sz="0" w:space="0" w:color="auto"/>
                  </w:divBdr>
                </w:div>
              </w:divsChild>
            </w:div>
            <w:div w:id="1771510058">
              <w:marLeft w:val="0"/>
              <w:marRight w:val="0"/>
              <w:marTop w:val="0"/>
              <w:marBottom w:val="0"/>
              <w:divBdr>
                <w:top w:val="none" w:sz="0" w:space="0" w:color="auto"/>
                <w:left w:val="none" w:sz="0" w:space="0" w:color="auto"/>
                <w:bottom w:val="none" w:sz="0" w:space="0" w:color="auto"/>
                <w:right w:val="none" w:sz="0" w:space="0" w:color="auto"/>
              </w:divBdr>
              <w:divsChild>
                <w:div w:id="131426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290241">
      <w:bodyDiv w:val="1"/>
      <w:marLeft w:val="0"/>
      <w:marRight w:val="0"/>
      <w:marTop w:val="0"/>
      <w:marBottom w:val="0"/>
      <w:divBdr>
        <w:top w:val="none" w:sz="0" w:space="0" w:color="auto"/>
        <w:left w:val="none" w:sz="0" w:space="0" w:color="auto"/>
        <w:bottom w:val="none" w:sz="0" w:space="0" w:color="auto"/>
        <w:right w:val="none" w:sz="0" w:space="0" w:color="auto"/>
      </w:divBdr>
    </w:div>
    <w:div w:id="1816601260">
      <w:bodyDiv w:val="1"/>
      <w:marLeft w:val="0"/>
      <w:marRight w:val="0"/>
      <w:marTop w:val="0"/>
      <w:marBottom w:val="0"/>
      <w:divBdr>
        <w:top w:val="none" w:sz="0" w:space="0" w:color="auto"/>
        <w:left w:val="none" w:sz="0" w:space="0" w:color="auto"/>
        <w:bottom w:val="none" w:sz="0" w:space="0" w:color="auto"/>
        <w:right w:val="none" w:sz="0" w:space="0" w:color="auto"/>
      </w:divBdr>
      <w:divsChild>
        <w:div w:id="16319024">
          <w:marLeft w:val="0"/>
          <w:marRight w:val="0"/>
          <w:marTop w:val="0"/>
          <w:marBottom w:val="0"/>
          <w:divBdr>
            <w:top w:val="none" w:sz="0" w:space="0" w:color="auto"/>
            <w:left w:val="none" w:sz="0" w:space="0" w:color="auto"/>
            <w:bottom w:val="none" w:sz="0" w:space="0" w:color="auto"/>
            <w:right w:val="none" w:sz="0" w:space="0" w:color="auto"/>
          </w:divBdr>
          <w:divsChild>
            <w:div w:id="1612974461">
              <w:marLeft w:val="0"/>
              <w:marRight w:val="0"/>
              <w:marTop w:val="0"/>
              <w:marBottom w:val="0"/>
              <w:divBdr>
                <w:top w:val="none" w:sz="0" w:space="0" w:color="auto"/>
                <w:left w:val="none" w:sz="0" w:space="0" w:color="auto"/>
                <w:bottom w:val="none" w:sz="0" w:space="0" w:color="auto"/>
                <w:right w:val="none" w:sz="0" w:space="0" w:color="auto"/>
              </w:divBdr>
              <w:divsChild>
                <w:div w:id="1376008602">
                  <w:marLeft w:val="0"/>
                  <w:marRight w:val="0"/>
                  <w:marTop w:val="0"/>
                  <w:marBottom w:val="0"/>
                  <w:divBdr>
                    <w:top w:val="none" w:sz="0" w:space="0" w:color="auto"/>
                    <w:left w:val="none" w:sz="0" w:space="0" w:color="auto"/>
                    <w:bottom w:val="none" w:sz="0" w:space="0" w:color="auto"/>
                    <w:right w:val="none" w:sz="0" w:space="0" w:color="auto"/>
                  </w:divBdr>
                  <w:divsChild>
                    <w:div w:id="1194466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4763616">
      <w:bodyDiv w:val="1"/>
      <w:marLeft w:val="0"/>
      <w:marRight w:val="0"/>
      <w:marTop w:val="0"/>
      <w:marBottom w:val="0"/>
      <w:divBdr>
        <w:top w:val="none" w:sz="0" w:space="0" w:color="auto"/>
        <w:left w:val="none" w:sz="0" w:space="0" w:color="auto"/>
        <w:bottom w:val="none" w:sz="0" w:space="0" w:color="auto"/>
        <w:right w:val="none" w:sz="0" w:space="0" w:color="auto"/>
      </w:divBdr>
    </w:div>
    <w:div w:id="1873180316">
      <w:bodyDiv w:val="1"/>
      <w:marLeft w:val="0"/>
      <w:marRight w:val="0"/>
      <w:marTop w:val="0"/>
      <w:marBottom w:val="0"/>
      <w:divBdr>
        <w:top w:val="none" w:sz="0" w:space="0" w:color="auto"/>
        <w:left w:val="none" w:sz="0" w:space="0" w:color="auto"/>
        <w:bottom w:val="none" w:sz="0" w:space="0" w:color="auto"/>
        <w:right w:val="none" w:sz="0" w:space="0" w:color="auto"/>
      </w:divBdr>
    </w:div>
    <w:div w:id="1920629204">
      <w:bodyDiv w:val="1"/>
      <w:marLeft w:val="0"/>
      <w:marRight w:val="0"/>
      <w:marTop w:val="0"/>
      <w:marBottom w:val="0"/>
      <w:divBdr>
        <w:top w:val="none" w:sz="0" w:space="0" w:color="auto"/>
        <w:left w:val="none" w:sz="0" w:space="0" w:color="auto"/>
        <w:bottom w:val="none" w:sz="0" w:space="0" w:color="auto"/>
        <w:right w:val="none" w:sz="0" w:space="0" w:color="auto"/>
      </w:divBdr>
      <w:divsChild>
        <w:div w:id="54818784">
          <w:marLeft w:val="0"/>
          <w:marRight w:val="0"/>
          <w:marTop w:val="0"/>
          <w:marBottom w:val="0"/>
          <w:divBdr>
            <w:top w:val="none" w:sz="0" w:space="0" w:color="auto"/>
            <w:left w:val="none" w:sz="0" w:space="0" w:color="auto"/>
            <w:bottom w:val="none" w:sz="0" w:space="0" w:color="auto"/>
            <w:right w:val="none" w:sz="0" w:space="0" w:color="auto"/>
          </w:divBdr>
          <w:divsChild>
            <w:div w:id="1030498941">
              <w:marLeft w:val="0"/>
              <w:marRight w:val="0"/>
              <w:marTop w:val="0"/>
              <w:marBottom w:val="0"/>
              <w:divBdr>
                <w:top w:val="none" w:sz="0" w:space="0" w:color="auto"/>
                <w:left w:val="none" w:sz="0" w:space="0" w:color="auto"/>
                <w:bottom w:val="none" w:sz="0" w:space="0" w:color="auto"/>
                <w:right w:val="none" w:sz="0" w:space="0" w:color="auto"/>
              </w:divBdr>
              <w:divsChild>
                <w:div w:id="1711370867">
                  <w:marLeft w:val="0"/>
                  <w:marRight w:val="0"/>
                  <w:marTop w:val="0"/>
                  <w:marBottom w:val="0"/>
                  <w:divBdr>
                    <w:top w:val="none" w:sz="0" w:space="0" w:color="auto"/>
                    <w:left w:val="none" w:sz="0" w:space="0" w:color="auto"/>
                    <w:bottom w:val="none" w:sz="0" w:space="0" w:color="auto"/>
                    <w:right w:val="none" w:sz="0" w:space="0" w:color="auto"/>
                  </w:divBdr>
                  <w:divsChild>
                    <w:div w:id="1934430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559603">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www.auditar.org.br/public/web_disk/acordo_tcu_auditar_/acordaooabtcu.pdf" TargetMode="External"/><Relationship Id="rId2" Type="http://schemas.openxmlformats.org/officeDocument/2006/relationships/hyperlink" Target="http://www.stf.jus.br/portal/legislacaoAnotadaAdiAdcAdpf/verLegislacao.asp?lei=375" TargetMode="External"/><Relationship Id="rId1" Type="http://schemas.openxmlformats.org/officeDocument/2006/relationships/hyperlink" Target="https://oabdf.org.br/wp-content/uploads/2018/07/Novo-Regimento-Interno-OAB-2013.pdf" TargetMode="External"/><Relationship Id="rId4" Type="http://schemas.openxmlformats.org/officeDocument/2006/relationships/hyperlink" Target="https://www.oab.org.br/publicacoes/AbrirPDF?LivroId=0000004085" TargetMode="Externa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39C33E-17D8-4B90-94A4-D2DC8F47C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2195</Words>
  <Characters>11859</Characters>
  <Application>Microsoft Office Word</Application>
  <DocSecurity>0</DocSecurity>
  <Lines>98</Lines>
  <Paragraphs>28</Paragraphs>
  <ScaleCrop>false</ScaleCrop>
  <HeadingPairs>
    <vt:vector size="2" baseType="variant">
      <vt:variant>
        <vt:lpstr>Título</vt:lpstr>
      </vt:variant>
      <vt:variant>
        <vt:i4>1</vt:i4>
      </vt:variant>
    </vt:vector>
  </HeadingPairs>
  <TitlesOfParts>
    <vt:vector size="1" baseType="lpstr">
      <vt:lpstr>JUSTIFICATIVA</vt:lpstr>
    </vt:vector>
  </TitlesOfParts>
  <Company>TCU</Company>
  <LinksUpToDate>false</LinksUpToDate>
  <CharactersWithSpaces>14026</CharactersWithSpaces>
  <SharedDoc>false</SharedDoc>
  <HLinks>
    <vt:vector size="24" baseType="variant">
      <vt:variant>
        <vt:i4>7274603</vt:i4>
      </vt:variant>
      <vt:variant>
        <vt:i4>9</vt:i4>
      </vt:variant>
      <vt:variant>
        <vt:i4>0</vt:i4>
      </vt:variant>
      <vt:variant>
        <vt:i4>5</vt:i4>
      </vt:variant>
      <vt:variant>
        <vt:lpwstr>https://www.oab.org.br/publicacoes/AbrirPDF?LivroId=0000004085</vt:lpwstr>
      </vt:variant>
      <vt:variant>
        <vt:lpwstr/>
      </vt:variant>
      <vt:variant>
        <vt:i4>65622</vt:i4>
      </vt:variant>
      <vt:variant>
        <vt:i4>6</vt:i4>
      </vt:variant>
      <vt:variant>
        <vt:i4>0</vt:i4>
      </vt:variant>
      <vt:variant>
        <vt:i4>5</vt:i4>
      </vt:variant>
      <vt:variant>
        <vt:lpwstr>https://www.auditar.org.br/public/web_disk/acordo_tcu_auditar_/acordaooabtcu.pdf</vt:lpwstr>
      </vt:variant>
      <vt:variant>
        <vt:lpwstr/>
      </vt:variant>
      <vt:variant>
        <vt:i4>7667775</vt:i4>
      </vt:variant>
      <vt:variant>
        <vt:i4>3</vt:i4>
      </vt:variant>
      <vt:variant>
        <vt:i4>0</vt:i4>
      </vt:variant>
      <vt:variant>
        <vt:i4>5</vt:i4>
      </vt:variant>
      <vt:variant>
        <vt:lpwstr>http://www.stf.jus.br/portal/legislacaoAnotadaAdiAdcAdpf/verLegislacao.asp?lei=375</vt:lpwstr>
      </vt:variant>
      <vt:variant>
        <vt:lpwstr/>
      </vt:variant>
      <vt:variant>
        <vt:i4>6946912</vt:i4>
      </vt:variant>
      <vt:variant>
        <vt:i4>0</vt:i4>
      </vt:variant>
      <vt:variant>
        <vt:i4>0</vt:i4>
      </vt:variant>
      <vt:variant>
        <vt:i4>5</vt:i4>
      </vt:variant>
      <vt:variant>
        <vt:lpwstr>https://oabdf.org.br/wp-content/uploads/2018/07/Novo-Regimento-Interno-OAB-2013.pdf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JUSTIFICATIVA</dc:title>
  <dc:subject/>
  <dc:creator>ADRIANAPC</dc:creator>
  <cp:keywords/>
  <cp:lastModifiedBy>Maria Rosangela de Oliveira Andrade</cp:lastModifiedBy>
  <cp:revision>2</cp:revision>
  <cp:lastPrinted>2021-03-04T17:39:00Z</cp:lastPrinted>
  <dcterms:created xsi:type="dcterms:W3CDTF">2022-01-05T18:37:00Z</dcterms:created>
  <dcterms:modified xsi:type="dcterms:W3CDTF">2022-01-05T18:37:00Z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1684892706</vt:i4>
  </property>
</Properties>
</file>