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C9ACE" w14:textId="77777777" w:rsidR="00F83D06" w:rsidRDefault="00F83D06" w:rsidP="00F83D06">
      <w:pPr>
        <w:pStyle w:val="Cabealho0"/>
        <w:keepLines/>
        <w:tabs>
          <w:tab w:val="left" w:pos="851"/>
        </w:tabs>
        <w:spacing w:line="240" w:lineRule="auto"/>
        <w:ind w:right="-568"/>
        <w:jc w:val="center"/>
        <w:rPr>
          <w:rFonts w:ascii="Times New Roman" w:hAnsi="Times New Roman"/>
          <w:b/>
          <w:sz w:val="24"/>
        </w:rPr>
      </w:pPr>
      <w:r w:rsidRPr="00515BC9">
        <w:rPr>
          <w:rFonts w:ascii="Times New Roman" w:hAnsi="Times New Roman"/>
          <w:b/>
          <w:sz w:val="24"/>
        </w:rPr>
        <w:t>MANIFESTAÇÃO DA COMISSÃO DE ÉTICA DO</w:t>
      </w:r>
    </w:p>
    <w:p w14:paraId="4B2B7F97" w14:textId="7D6FD4A8" w:rsidR="00F83D06" w:rsidRDefault="00F83D06" w:rsidP="00F83D06">
      <w:pPr>
        <w:pStyle w:val="Cabealho0"/>
        <w:keepLines/>
        <w:tabs>
          <w:tab w:val="left" w:pos="851"/>
        </w:tabs>
        <w:spacing w:line="240" w:lineRule="auto"/>
        <w:ind w:right="-568"/>
        <w:jc w:val="center"/>
        <w:rPr>
          <w:rFonts w:ascii="Times New Roman" w:hAnsi="Times New Roman"/>
          <w:b/>
          <w:sz w:val="24"/>
        </w:rPr>
      </w:pPr>
      <w:r w:rsidRPr="00515BC9">
        <w:rPr>
          <w:rFonts w:ascii="Times New Roman" w:hAnsi="Times New Roman"/>
          <w:b/>
          <w:sz w:val="24"/>
        </w:rPr>
        <w:t xml:space="preserve"> T</w:t>
      </w:r>
      <w:r>
        <w:rPr>
          <w:rFonts w:ascii="Times New Roman" w:hAnsi="Times New Roman"/>
          <w:b/>
          <w:sz w:val="24"/>
        </w:rPr>
        <w:t>RIBUNAL DE CONTAS DA UNIÃO Nº 2</w:t>
      </w:r>
      <w:r w:rsidR="006F522D">
        <w:rPr>
          <w:rFonts w:ascii="Times New Roman" w:hAnsi="Times New Roman"/>
          <w:b/>
          <w:sz w:val="24"/>
        </w:rPr>
        <w:t>0</w:t>
      </w:r>
      <w:r>
        <w:rPr>
          <w:rFonts w:ascii="Times New Roman" w:hAnsi="Times New Roman"/>
          <w:b/>
          <w:sz w:val="24"/>
        </w:rPr>
        <w:t>/2022</w:t>
      </w:r>
    </w:p>
    <w:p w14:paraId="5ECAAAE1" w14:textId="77777777" w:rsidR="00F83D06" w:rsidRDefault="00F83D06" w:rsidP="00F83D06">
      <w:pPr>
        <w:pStyle w:val="PargrafodaLista"/>
        <w:ind w:right="-568"/>
        <w:jc w:val="both"/>
        <w:rPr>
          <w:rFonts w:ascii="Times New Roman" w:hAnsi="Times New Roman"/>
          <w:sz w:val="28"/>
          <w:szCs w:val="28"/>
        </w:rPr>
      </w:pPr>
    </w:p>
    <w:p w14:paraId="200A7094" w14:textId="77777777" w:rsidR="00F83D06" w:rsidRDefault="00F83D06" w:rsidP="00F83D06">
      <w:pPr>
        <w:pStyle w:val="PargrafodaLista"/>
        <w:spacing w:after="0" w:line="240" w:lineRule="auto"/>
        <w:ind w:left="4820" w:right="-568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B8D9463" w14:textId="56369FD9" w:rsidR="00F83D06" w:rsidRPr="00CB5BD2" w:rsidRDefault="00F83D06" w:rsidP="00F83D06">
      <w:pPr>
        <w:pStyle w:val="PargrafodaLista"/>
        <w:spacing w:after="0" w:line="240" w:lineRule="auto"/>
        <w:ind w:left="4820" w:right="-568"/>
        <w:jc w:val="both"/>
        <w:rPr>
          <w:rFonts w:ascii="Times New Roman" w:hAnsi="Times New Roman"/>
          <w:b/>
          <w:bCs/>
          <w:sz w:val="24"/>
          <w:szCs w:val="24"/>
        </w:rPr>
      </w:pPr>
      <w:r w:rsidRPr="00802C41">
        <w:rPr>
          <w:rFonts w:ascii="Times New Roman" w:hAnsi="Times New Roman"/>
          <w:b/>
          <w:bCs/>
          <w:sz w:val="24"/>
          <w:szCs w:val="24"/>
        </w:rPr>
        <w:t>Assunto: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E4C4E">
        <w:rPr>
          <w:rFonts w:ascii="Times New Roman" w:hAnsi="Times New Roman"/>
          <w:b/>
          <w:bCs/>
          <w:sz w:val="24"/>
          <w:szCs w:val="24"/>
        </w:rPr>
        <w:t>recebimento de medalha conferida por associação de municípios</w:t>
      </w:r>
      <w:r w:rsidRPr="00802C41">
        <w:rPr>
          <w:rFonts w:ascii="Times New Roman" w:hAnsi="Times New Roman"/>
          <w:b/>
          <w:bCs/>
          <w:sz w:val="24"/>
          <w:szCs w:val="24"/>
        </w:rPr>
        <w:t>.</w:t>
      </w:r>
    </w:p>
    <w:p w14:paraId="118283C4" w14:textId="77777777" w:rsidR="00F83D06" w:rsidRDefault="00F83D06" w:rsidP="00F83D06">
      <w:pPr>
        <w:tabs>
          <w:tab w:val="left" w:pos="1134"/>
        </w:tabs>
        <w:spacing w:before="60" w:after="60"/>
        <w:ind w:right="-568"/>
        <w:jc w:val="both"/>
      </w:pPr>
      <w:r w:rsidRPr="0001762C">
        <w:tab/>
      </w:r>
      <w:r w:rsidRPr="0001762C">
        <w:tab/>
      </w:r>
    </w:p>
    <w:p w14:paraId="29F4A15F" w14:textId="7F65C066" w:rsidR="00F83D06" w:rsidRPr="00CE749E" w:rsidRDefault="00F83D06" w:rsidP="00CE4C4E">
      <w:pPr>
        <w:tabs>
          <w:tab w:val="left" w:pos="1134"/>
        </w:tabs>
        <w:spacing w:before="60" w:after="60"/>
        <w:ind w:right="-567"/>
        <w:jc w:val="both"/>
      </w:pPr>
      <w:r>
        <w:tab/>
      </w:r>
      <w:r w:rsidRPr="00A62FA3">
        <w:t xml:space="preserve">Trata-se de consulta, </w:t>
      </w:r>
      <w:r w:rsidR="00CE4C4E" w:rsidRPr="00A62FA3">
        <w:t>enviada por e-mail a esta comissão em 25/10/2022</w:t>
      </w:r>
      <w:r w:rsidRPr="00A62FA3">
        <w:t xml:space="preserve">, </w:t>
      </w:r>
      <w:r w:rsidR="00CE4C4E" w:rsidRPr="00A62FA3">
        <w:t xml:space="preserve">sobre </w:t>
      </w:r>
      <w:r w:rsidR="003E376A" w:rsidRPr="00A62FA3">
        <w:t xml:space="preserve">eventual </w:t>
      </w:r>
      <w:r w:rsidR="00CE4C4E" w:rsidRPr="00A62FA3">
        <w:t>impedimento à participação de se</w:t>
      </w:r>
      <w:r w:rsidR="00A62FA3">
        <w:t>rvidora</w:t>
      </w:r>
      <w:r w:rsidR="00CE4C4E" w:rsidRPr="00A62FA3">
        <w:t xml:space="preserve"> d</w:t>
      </w:r>
      <w:r w:rsidR="00536D3B" w:rsidRPr="00A62FA3">
        <w:t>o TCU</w:t>
      </w:r>
      <w:r w:rsidR="00CE4C4E" w:rsidRPr="00A62FA3">
        <w:t xml:space="preserve"> em cerimônia realizada por associação de municípios para entrega de medalha comemorativa de aniversário da instituição.</w:t>
      </w:r>
    </w:p>
    <w:p w14:paraId="3FAC07B9" w14:textId="77777777" w:rsidR="00536D3B" w:rsidRDefault="00536D3B" w:rsidP="00D504A5">
      <w:pPr>
        <w:tabs>
          <w:tab w:val="left" w:pos="1134"/>
        </w:tabs>
        <w:spacing w:before="60" w:after="60"/>
        <w:ind w:right="-567"/>
        <w:jc w:val="both"/>
        <w:rPr>
          <w:b/>
        </w:rPr>
      </w:pPr>
    </w:p>
    <w:p w14:paraId="209828A2" w14:textId="1CF6B5E0" w:rsidR="00D504A5" w:rsidRPr="0001762C" w:rsidRDefault="00D504A5" w:rsidP="00D504A5">
      <w:pPr>
        <w:tabs>
          <w:tab w:val="left" w:pos="1134"/>
        </w:tabs>
        <w:spacing w:before="60" w:after="60"/>
        <w:ind w:right="-567"/>
        <w:jc w:val="both"/>
        <w:rPr>
          <w:b/>
        </w:rPr>
      </w:pPr>
      <w:r w:rsidRPr="0001762C">
        <w:rPr>
          <w:b/>
        </w:rPr>
        <w:t>EXAME</w:t>
      </w:r>
      <w:r>
        <w:rPr>
          <w:b/>
        </w:rPr>
        <w:t xml:space="preserve"> </w:t>
      </w:r>
    </w:p>
    <w:p w14:paraId="3612986A" w14:textId="38F4D865" w:rsidR="00536D3B" w:rsidRDefault="00536D3B" w:rsidP="00CE4C4E">
      <w:pPr>
        <w:tabs>
          <w:tab w:val="left" w:pos="1134"/>
        </w:tabs>
        <w:spacing w:before="60" w:after="60"/>
        <w:ind w:right="-567"/>
        <w:jc w:val="both"/>
      </w:pPr>
      <w:r>
        <w:tab/>
        <w:t>A existência de conflito entre interesses públicos e privados no recebimento de medalhas, comendas ou homenagens de organização jurisdicionada ao TCU</w:t>
      </w:r>
      <w:r w:rsidR="00A62FA3">
        <w:t>, inclusive a que</w:t>
      </w:r>
      <w:r>
        <w:t xml:space="preserve"> receba recursos federais transferidos mediante convênios, acordos, ajustes ou instrumentos congêneres</w:t>
      </w:r>
      <w:r w:rsidR="00A62FA3">
        <w:t>,</w:t>
      </w:r>
      <w:r>
        <w:t xml:space="preserve"> deve ser avaliada</w:t>
      </w:r>
      <w:r w:rsidR="00C416BE">
        <w:t xml:space="preserve"> </w:t>
      </w:r>
      <w:r w:rsidR="00C416BE" w:rsidRPr="00A62FA3">
        <w:t>caso a caso</w:t>
      </w:r>
      <w:r w:rsidRPr="00A62FA3">
        <w:t>, nos termos do art. 14, inciso II, do Código de Conduta Ética dos Servidores,</w:t>
      </w:r>
      <w:r>
        <w:t xml:space="preserve"> aprovado pela Resolução-TCU 330/2021.</w:t>
      </w:r>
    </w:p>
    <w:p w14:paraId="7C1B3C83" w14:textId="3AC15660" w:rsidR="00536D3B" w:rsidRDefault="00536D3B" w:rsidP="00CE4C4E">
      <w:pPr>
        <w:tabs>
          <w:tab w:val="left" w:pos="1134"/>
        </w:tabs>
        <w:spacing w:before="60" w:after="60"/>
        <w:ind w:right="-567"/>
        <w:jc w:val="both"/>
      </w:pPr>
      <w:r>
        <w:tab/>
        <w:t xml:space="preserve">Nesse sentido, esta comissão já elaborou algumas manifestações sobre o assunto, </w:t>
      </w:r>
      <w:r w:rsidR="003E376A">
        <w:t xml:space="preserve">que se encontram </w:t>
      </w:r>
      <w:r>
        <w:t>disponíveis na página da gestão da ética</w:t>
      </w:r>
      <w:r>
        <w:rPr>
          <w:rStyle w:val="Refdenotaderodap"/>
        </w:rPr>
        <w:footnoteReference w:id="1"/>
      </w:r>
      <w:r>
        <w:t>.</w:t>
      </w:r>
    </w:p>
    <w:p w14:paraId="6D31593F" w14:textId="1DEB235E" w:rsidR="00536D3B" w:rsidRDefault="00536D3B" w:rsidP="00CE4C4E">
      <w:pPr>
        <w:tabs>
          <w:tab w:val="left" w:pos="1134"/>
        </w:tabs>
        <w:spacing w:before="60" w:after="60"/>
        <w:ind w:right="-567"/>
        <w:jc w:val="both"/>
      </w:pPr>
      <w:r>
        <w:tab/>
        <w:t>Na regulamentação do tema, foi estabelecido o seguinte</w:t>
      </w:r>
      <w:r w:rsidR="003676DC">
        <w:t xml:space="preserve"> por meio da Portaria-TCU 112/2022</w:t>
      </w:r>
      <w:r>
        <w:t>:</w:t>
      </w:r>
    </w:p>
    <w:p w14:paraId="18F005D4" w14:textId="77777777" w:rsidR="00D34B01" w:rsidRPr="00D34B01" w:rsidRDefault="00536D3B" w:rsidP="00D34B01">
      <w:pPr>
        <w:pStyle w:val="paragrafo-2"/>
        <w:ind w:left="567" w:right="-568" w:firstLine="0"/>
        <w:rPr>
          <w:sz w:val="22"/>
          <w:szCs w:val="22"/>
        </w:rPr>
      </w:pPr>
      <w:r w:rsidRPr="00D34B01">
        <w:rPr>
          <w:sz w:val="22"/>
          <w:szCs w:val="22"/>
        </w:rPr>
        <w:t>“</w:t>
      </w:r>
      <w:r w:rsidR="00D34B01" w:rsidRPr="00D34B01">
        <w:rPr>
          <w:sz w:val="22"/>
          <w:szCs w:val="22"/>
        </w:rPr>
        <w:t>Art. 6º Não configurará conflito entre interesses públicos e privados:</w:t>
      </w:r>
    </w:p>
    <w:p w14:paraId="1E1CC61A" w14:textId="4A76C6D8" w:rsidR="00D34B01" w:rsidRDefault="00D34B01" w:rsidP="00D34B01">
      <w:pPr>
        <w:pStyle w:val="paragrafo-2"/>
        <w:spacing w:line="244" w:lineRule="auto"/>
        <w:ind w:left="567" w:right="-568" w:firstLine="0"/>
        <w:rPr>
          <w:sz w:val="22"/>
          <w:szCs w:val="22"/>
        </w:rPr>
      </w:pPr>
      <w:r>
        <w:rPr>
          <w:sz w:val="22"/>
          <w:szCs w:val="22"/>
        </w:rPr>
        <w:t>(...)</w:t>
      </w:r>
    </w:p>
    <w:p w14:paraId="42C31CBC" w14:textId="78638CC8" w:rsidR="00D34B01" w:rsidRPr="00D34B01" w:rsidRDefault="00D34B01" w:rsidP="00D34B01">
      <w:pPr>
        <w:pStyle w:val="paragrafo-2"/>
        <w:spacing w:line="244" w:lineRule="auto"/>
        <w:ind w:left="567" w:right="-568" w:firstLine="0"/>
        <w:rPr>
          <w:sz w:val="22"/>
          <w:szCs w:val="22"/>
        </w:rPr>
      </w:pPr>
      <w:r w:rsidRPr="00D34B01">
        <w:rPr>
          <w:sz w:val="22"/>
          <w:szCs w:val="22"/>
        </w:rPr>
        <w:t xml:space="preserve">II - </w:t>
      </w:r>
      <w:bookmarkStart w:id="0" w:name="_Hlk101969078"/>
      <w:proofErr w:type="gramStart"/>
      <w:r w:rsidRPr="00D34B01">
        <w:rPr>
          <w:sz w:val="22"/>
          <w:szCs w:val="22"/>
        </w:rPr>
        <w:t>o</w:t>
      </w:r>
      <w:proofErr w:type="gramEnd"/>
      <w:r w:rsidRPr="00D34B01">
        <w:rPr>
          <w:sz w:val="22"/>
          <w:szCs w:val="22"/>
        </w:rPr>
        <w:t xml:space="preserve"> recebimento pelo servidor de medalhas, comendas ou outras homenagens concedidas como reconhecimento pela prestação de relevantes serviços públicos</w:t>
      </w:r>
      <w:bookmarkEnd w:id="0"/>
      <w:r w:rsidRPr="00D34B01">
        <w:rPr>
          <w:sz w:val="22"/>
          <w:szCs w:val="22"/>
        </w:rPr>
        <w:t>.</w:t>
      </w:r>
    </w:p>
    <w:p w14:paraId="1516F5EA" w14:textId="36395CBB" w:rsidR="00D34B01" w:rsidRDefault="00D34B01" w:rsidP="00D34B01">
      <w:pPr>
        <w:pStyle w:val="paragrafo-2"/>
        <w:spacing w:line="244" w:lineRule="auto"/>
        <w:ind w:left="567" w:right="-568" w:firstLine="0"/>
        <w:rPr>
          <w:sz w:val="22"/>
          <w:szCs w:val="22"/>
        </w:rPr>
      </w:pPr>
      <w:r>
        <w:rPr>
          <w:sz w:val="22"/>
          <w:szCs w:val="22"/>
        </w:rPr>
        <w:t>(...)</w:t>
      </w:r>
    </w:p>
    <w:p w14:paraId="3404D529" w14:textId="6D210AD6" w:rsidR="00D34B01" w:rsidRPr="00D34B01" w:rsidRDefault="00D34B01" w:rsidP="00D34B01">
      <w:pPr>
        <w:pStyle w:val="paragrafo-2"/>
        <w:spacing w:line="244" w:lineRule="auto"/>
        <w:ind w:left="567" w:right="-568" w:firstLine="0"/>
        <w:rPr>
          <w:sz w:val="22"/>
          <w:szCs w:val="22"/>
        </w:rPr>
      </w:pPr>
      <w:r w:rsidRPr="00D34B01">
        <w:rPr>
          <w:sz w:val="22"/>
          <w:szCs w:val="22"/>
        </w:rPr>
        <w:t xml:space="preserve">§ 2º O disposto no inciso II do </w:t>
      </w:r>
      <w:r w:rsidRPr="00D34B01">
        <w:rPr>
          <w:b/>
          <w:bCs/>
          <w:sz w:val="22"/>
          <w:szCs w:val="22"/>
        </w:rPr>
        <w:t>caput</w:t>
      </w:r>
      <w:r w:rsidRPr="00D34B01">
        <w:rPr>
          <w:sz w:val="22"/>
          <w:szCs w:val="22"/>
        </w:rPr>
        <w:t xml:space="preserve"> deste artigo não prejudicará o direito de o servidor declinar da homenagem a partir da ponderação entre as circunstâncias em que seja formulada e a avaliação pessoal se a situação afeta, mesmo potencial ou aparentemente, a independência e a imparcialidade exigidas no desempenho do cargo ou função</w:t>
      </w:r>
      <w:r w:rsidRPr="00A62FA3">
        <w:rPr>
          <w:sz w:val="22"/>
          <w:szCs w:val="22"/>
        </w:rPr>
        <w:t>.</w:t>
      </w:r>
      <w:r w:rsidR="007962F9" w:rsidRPr="00A62FA3">
        <w:rPr>
          <w:sz w:val="22"/>
          <w:szCs w:val="22"/>
        </w:rPr>
        <w:t>”</w:t>
      </w:r>
    </w:p>
    <w:p w14:paraId="0C038FB6" w14:textId="5DDC334E" w:rsidR="008348C4" w:rsidRDefault="00D34B01" w:rsidP="00CE4C4E">
      <w:pPr>
        <w:tabs>
          <w:tab w:val="left" w:pos="1134"/>
        </w:tabs>
        <w:spacing w:before="60" w:after="60"/>
        <w:ind w:right="-567"/>
        <w:jc w:val="both"/>
      </w:pPr>
      <w:r>
        <w:tab/>
      </w:r>
      <w:r w:rsidR="008348C4" w:rsidRPr="008348C4">
        <w:t xml:space="preserve">Destaque-se que neste caso a insígnia foi conferida a unidade </w:t>
      </w:r>
      <w:r w:rsidR="008348C4">
        <w:t xml:space="preserve">regional </w:t>
      </w:r>
      <w:r w:rsidR="008348C4" w:rsidRPr="008348C4">
        <w:t xml:space="preserve">do TCU, e não exclusivamente à </w:t>
      </w:r>
      <w:r w:rsidR="008348C4">
        <w:t>destinatária do convite</w:t>
      </w:r>
      <w:r w:rsidR="008348C4" w:rsidRPr="008348C4">
        <w:t>.</w:t>
      </w:r>
    </w:p>
    <w:p w14:paraId="35DAC8AB" w14:textId="0FEBDD98" w:rsidR="00F83D06" w:rsidRPr="003C518F" w:rsidRDefault="008348C4" w:rsidP="00CE4C4E">
      <w:pPr>
        <w:tabs>
          <w:tab w:val="left" w:pos="1134"/>
        </w:tabs>
        <w:spacing w:before="60" w:after="60"/>
        <w:ind w:right="-567"/>
        <w:jc w:val="both"/>
      </w:pPr>
      <w:r>
        <w:tab/>
      </w:r>
      <w:r w:rsidR="00D34B01">
        <w:t xml:space="preserve">Diante desse contexto, e considerando que, com os elementos disponíveis, não se vislumbra qualquer indício de </w:t>
      </w:r>
      <w:r w:rsidR="003676DC">
        <w:t xml:space="preserve">oferta de </w:t>
      </w:r>
      <w:r w:rsidR="00D34B01">
        <w:t xml:space="preserve">vantagem </w:t>
      </w:r>
      <w:r w:rsidR="00D34B01" w:rsidRPr="000D43D4">
        <w:t xml:space="preserve">à </w:t>
      </w:r>
      <w:r>
        <w:t>servidora</w:t>
      </w:r>
      <w:r w:rsidR="003676DC">
        <w:t xml:space="preserve"> que possa comprometer o interesse coletivo ou influenciar, de maneira imprópria, o desempenho da função pública ou dos resultados dela esperado</w:t>
      </w:r>
      <w:r w:rsidR="00A62FA3">
        <w:t>,</w:t>
      </w:r>
      <w:r w:rsidR="00D34B01">
        <w:t xml:space="preserve"> </w:t>
      </w:r>
      <w:r w:rsidR="003676DC">
        <w:t>infere-se não haver</w:t>
      </w:r>
      <w:r w:rsidR="00D34B01">
        <w:t xml:space="preserve"> impedimento </w:t>
      </w:r>
      <w:r w:rsidR="003676DC">
        <w:t xml:space="preserve">à </w:t>
      </w:r>
      <w:r w:rsidR="00D34B01">
        <w:t xml:space="preserve">participação no evento, consoante as normas mencionadas.  </w:t>
      </w:r>
    </w:p>
    <w:p w14:paraId="1014D3E7" w14:textId="77777777" w:rsidR="00536D3B" w:rsidRDefault="00536D3B" w:rsidP="00F83D06">
      <w:pPr>
        <w:pStyle w:val="Artigo"/>
        <w:tabs>
          <w:tab w:val="left" w:pos="1134"/>
        </w:tabs>
        <w:spacing w:before="60" w:after="60"/>
        <w:ind w:right="-567" w:firstLine="0"/>
        <w:rPr>
          <w:rFonts w:ascii="Times New Roman" w:hAnsi="Times New Roman"/>
          <w:b/>
          <w:bCs/>
        </w:rPr>
      </w:pPr>
    </w:p>
    <w:p w14:paraId="25512B54" w14:textId="563D7DED" w:rsidR="00F83D06" w:rsidRPr="00B66004" w:rsidRDefault="00F83D06" w:rsidP="00F83D06">
      <w:pPr>
        <w:pStyle w:val="Artigo"/>
        <w:tabs>
          <w:tab w:val="left" w:pos="1134"/>
        </w:tabs>
        <w:spacing w:before="60" w:after="60"/>
        <w:ind w:right="-567" w:firstLine="0"/>
        <w:rPr>
          <w:rFonts w:ascii="Times New Roman" w:hAnsi="Times New Roman"/>
          <w:b/>
          <w:bCs/>
          <w:highlight w:val="yellow"/>
        </w:rPr>
      </w:pPr>
      <w:r w:rsidRPr="00B71A39">
        <w:rPr>
          <w:rFonts w:ascii="Times New Roman" w:hAnsi="Times New Roman"/>
          <w:b/>
          <w:bCs/>
        </w:rPr>
        <w:t>CONCLUSÃO</w:t>
      </w:r>
    </w:p>
    <w:p w14:paraId="0E3A6C5C" w14:textId="77777777" w:rsidR="006F522D" w:rsidRDefault="00F83D06" w:rsidP="00D34B01">
      <w:pPr>
        <w:tabs>
          <w:tab w:val="left" w:pos="1134"/>
        </w:tabs>
        <w:spacing w:before="60" w:after="60"/>
        <w:ind w:right="-568"/>
        <w:jc w:val="both"/>
      </w:pPr>
      <w:r w:rsidRPr="006466EA">
        <w:tab/>
        <w:t xml:space="preserve">Ante o exposto, conclui-se por responder à </w:t>
      </w:r>
      <w:r>
        <w:t xml:space="preserve">consulente </w:t>
      </w:r>
      <w:r w:rsidRPr="006466EA">
        <w:t>que</w:t>
      </w:r>
      <w:r w:rsidR="006F522D">
        <w:t>:</w:t>
      </w:r>
    </w:p>
    <w:p w14:paraId="17C3BEE2" w14:textId="3146E56F" w:rsidR="00D34B01" w:rsidRDefault="006F522D" w:rsidP="00D34B01">
      <w:pPr>
        <w:tabs>
          <w:tab w:val="left" w:pos="1134"/>
        </w:tabs>
        <w:spacing w:before="60" w:after="60"/>
        <w:ind w:right="-568"/>
        <w:jc w:val="both"/>
      </w:pPr>
      <w:r>
        <w:tab/>
        <w:t xml:space="preserve">I - </w:t>
      </w:r>
      <w:proofErr w:type="gramStart"/>
      <w:r>
        <w:t>no</w:t>
      </w:r>
      <w:proofErr w:type="gramEnd"/>
      <w:r>
        <w:t xml:space="preserve"> presente caso, não se </w:t>
      </w:r>
      <w:r w:rsidR="003676DC">
        <w:t>verifica</w:t>
      </w:r>
      <w:r>
        <w:t xml:space="preserve"> </w:t>
      </w:r>
      <w:r w:rsidR="00D34B01">
        <w:t xml:space="preserve">impedimento </w:t>
      </w:r>
      <w:r>
        <w:t>à participação de servidor</w:t>
      </w:r>
      <w:r w:rsidR="008348C4">
        <w:t>a</w:t>
      </w:r>
      <w:r>
        <w:t xml:space="preserve"> do TCU em cerimônia de entrega de medalha comemorativa de aniversário de associação de município,</w:t>
      </w:r>
      <w:r w:rsidR="00D34B01">
        <w:t xml:space="preserve"> </w:t>
      </w:r>
      <w:r>
        <w:t xml:space="preserve">conferida a unidade </w:t>
      </w:r>
      <w:r w:rsidR="008348C4">
        <w:t xml:space="preserve">regional </w:t>
      </w:r>
      <w:r>
        <w:t xml:space="preserve">do TCU, por ausência de indícios de conflito entre </w:t>
      </w:r>
      <w:r>
        <w:lastRenderedPageBreak/>
        <w:t xml:space="preserve">interesses públicos e privados ou </w:t>
      </w:r>
      <w:r w:rsidR="003676DC">
        <w:t xml:space="preserve">de </w:t>
      </w:r>
      <w:r>
        <w:t>infração às normas éticas, conforme disposto no art. 6º, inciso II, da Portaria Portaria-TCU 112/2022;</w:t>
      </w:r>
    </w:p>
    <w:p w14:paraId="3E447F0D" w14:textId="41908F22" w:rsidR="006F522D" w:rsidRPr="006F522D" w:rsidRDefault="006F522D" w:rsidP="00D34B01">
      <w:pPr>
        <w:tabs>
          <w:tab w:val="left" w:pos="1134"/>
        </w:tabs>
        <w:spacing w:before="60" w:after="60"/>
        <w:ind w:right="-568"/>
        <w:jc w:val="both"/>
      </w:pPr>
      <w:r>
        <w:tab/>
      </w:r>
      <w:r w:rsidRPr="008348C4">
        <w:t xml:space="preserve">II - </w:t>
      </w:r>
      <w:proofErr w:type="gramStart"/>
      <w:r w:rsidRPr="008348C4">
        <w:t>essa</w:t>
      </w:r>
      <w:proofErr w:type="gramEnd"/>
      <w:r w:rsidRPr="008348C4">
        <w:t xml:space="preserve"> conclusão, entretanto, não prejudica o direito de </w:t>
      </w:r>
      <w:r w:rsidR="008348C4" w:rsidRPr="008348C4">
        <w:t xml:space="preserve">a </w:t>
      </w:r>
      <w:r w:rsidRPr="008348C4">
        <w:t>servidor</w:t>
      </w:r>
      <w:r w:rsidR="008348C4" w:rsidRPr="008348C4">
        <w:t>a</w:t>
      </w:r>
      <w:r w:rsidRPr="008348C4">
        <w:t xml:space="preserve"> declinar do </w:t>
      </w:r>
      <w:r w:rsidR="003676DC" w:rsidRPr="008348C4">
        <w:t xml:space="preserve">convite </w:t>
      </w:r>
      <w:r w:rsidRPr="008348C4">
        <w:t xml:space="preserve">a partir da ponderação </w:t>
      </w:r>
      <w:r w:rsidR="00EF7501" w:rsidRPr="008348C4">
        <w:t xml:space="preserve">quanto às </w:t>
      </w:r>
      <w:r w:rsidRPr="008348C4">
        <w:t xml:space="preserve">circunstâncias em que foi formulado e </w:t>
      </w:r>
      <w:r w:rsidR="007C3D1C" w:rsidRPr="008348C4">
        <w:t>à</w:t>
      </w:r>
      <w:r w:rsidRPr="008348C4">
        <w:t xml:space="preserve"> </w:t>
      </w:r>
      <w:r w:rsidR="00191269" w:rsidRPr="008348C4">
        <w:t xml:space="preserve">possibilidade, após </w:t>
      </w:r>
      <w:r w:rsidRPr="008348C4">
        <w:t>avaliação pessoal</w:t>
      </w:r>
      <w:r w:rsidR="00191269" w:rsidRPr="008348C4">
        <w:t>, de a situação afetar</w:t>
      </w:r>
      <w:r w:rsidRPr="008348C4">
        <w:t>, mesmo potencial ou aparentemente, a independência e a imparcialidade exigidas no desempenho do cargo ou função, nos termos do § 2º do citado dispositivo.</w:t>
      </w:r>
    </w:p>
    <w:p w14:paraId="589AE4DD" w14:textId="5142B788" w:rsidR="00F83D06" w:rsidRDefault="00F83D06" w:rsidP="006F522D">
      <w:pPr>
        <w:tabs>
          <w:tab w:val="left" w:pos="1134"/>
        </w:tabs>
        <w:spacing w:before="60" w:after="60"/>
        <w:ind w:right="-568"/>
        <w:jc w:val="both"/>
      </w:pPr>
      <w:r>
        <w:tab/>
      </w:r>
    </w:p>
    <w:p w14:paraId="494AE84C" w14:textId="029010C6" w:rsidR="00F83D06" w:rsidRPr="00271E1B" w:rsidRDefault="00F83D06" w:rsidP="00F83D06">
      <w:pPr>
        <w:tabs>
          <w:tab w:val="left" w:pos="1134"/>
        </w:tabs>
        <w:spacing w:before="60" w:after="60"/>
        <w:ind w:right="-568"/>
        <w:jc w:val="center"/>
      </w:pPr>
      <w:r w:rsidRPr="00271E1B">
        <w:t xml:space="preserve">TCU, em </w:t>
      </w:r>
      <w:r w:rsidR="008348C4">
        <w:t>2</w:t>
      </w:r>
      <w:r w:rsidR="006F1411">
        <w:t>7</w:t>
      </w:r>
      <w:r w:rsidRPr="00271E1B">
        <w:t xml:space="preserve"> de </w:t>
      </w:r>
      <w:r>
        <w:t>outubro</w:t>
      </w:r>
      <w:r w:rsidRPr="00271E1B">
        <w:t xml:space="preserve"> de 202</w:t>
      </w:r>
      <w:r>
        <w:t>2</w:t>
      </w:r>
      <w:r w:rsidRPr="00271E1B">
        <w:t>.</w:t>
      </w:r>
    </w:p>
    <w:p w14:paraId="59BE88AB" w14:textId="77777777" w:rsidR="00F83D06" w:rsidRDefault="00F83D06" w:rsidP="00F83D06">
      <w:pPr>
        <w:pStyle w:val="NormalWeb"/>
        <w:spacing w:before="0" w:beforeAutospacing="0" w:after="0" w:afterAutospacing="0"/>
        <w:ind w:right="-568"/>
        <w:jc w:val="center"/>
        <w:rPr>
          <w:rFonts w:ascii="TimesNewRomanPS" w:hAnsi="TimesNewRomanPS"/>
          <w:i/>
          <w:iCs/>
        </w:rPr>
      </w:pPr>
    </w:p>
    <w:p w14:paraId="7D8DF8E2" w14:textId="77777777" w:rsidR="00F83D06" w:rsidRDefault="00F83D06" w:rsidP="00F83D06">
      <w:pPr>
        <w:pStyle w:val="NormalWeb"/>
        <w:spacing w:before="0" w:beforeAutospacing="0" w:after="0" w:afterAutospacing="0"/>
        <w:ind w:right="-568"/>
        <w:jc w:val="center"/>
        <w:rPr>
          <w:rFonts w:ascii="TimesNewRomanPS" w:hAnsi="TimesNewRomanPS"/>
          <w:i/>
          <w:iCs/>
        </w:rPr>
      </w:pPr>
      <w:r>
        <w:rPr>
          <w:rFonts w:ascii="TimesNewRomanPS" w:hAnsi="TimesNewRomanPS"/>
          <w:i/>
          <w:iCs/>
        </w:rPr>
        <w:t>(assinado eletronicamente)</w:t>
      </w:r>
    </w:p>
    <w:p w14:paraId="4A920477" w14:textId="77777777" w:rsidR="00F83D06" w:rsidRDefault="00F83D06" w:rsidP="00F83D06">
      <w:pPr>
        <w:pStyle w:val="NormalWeb"/>
        <w:spacing w:before="0" w:beforeAutospacing="0" w:after="0" w:afterAutospacing="0"/>
        <w:ind w:right="-568"/>
        <w:jc w:val="center"/>
      </w:pPr>
      <w:r>
        <w:t>Maria Rosangela de Oliveira Andrade</w:t>
      </w:r>
    </w:p>
    <w:p w14:paraId="5EC22790" w14:textId="77777777" w:rsidR="00F83D06" w:rsidRDefault="00F83D06" w:rsidP="00F83D06">
      <w:pPr>
        <w:pStyle w:val="PargrafodaLista"/>
        <w:ind w:left="0" w:right="-56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Presidente da Comissão de Ética</w:t>
      </w:r>
    </w:p>
    <w:p w14:paraId="5974B373" w14:textId="77777777" w:rsidR="00F83D06" w:rsidRDefault="00F83D06" w:rsidP="00F83D06">
      <w:pPr>
        <w:pStyle w:val="PargrafodaLista"/>
        <w:ind w:left="0" w:right="-568"/>
        <w:rPr>
          <w:rFonts w:ascii="TimesNewRomanPS" w:hAnsi="TimesNewRomanPS"/>
          <w:i/>
          <w:iCs/>
        </w:rPr>
      </w:pPr>
    </w:p>
    <w:p w14:paraId="6D153172" w14:textId="77777777" w:rsidR="00F83D06" w:rsidRDefault="00F83D06" w:rsidP="00F83D06">
      <w:pPr>
        <w:pStyle w:val="PargrafodaLista"/>
        <w:ind w:left="0" w:right="-568"/>
        <w:jc w:val="center"/>
        <w:rPr>
          <w:rFonts w:ascii="TimesNewRomanPS" w:hAnsi="TimesNewRomanPS"/>
          <w:i/>
          <w:iCs/>
        </w:rPr>
      </w:pPr>
      <w:r>
        <w:rPr>
          <w:rFonts w:ascii="TimesNewRomanPS" w:hAnsi="TimesNewRomanPS"/>
          <w:i/>
          <w:iCs/>
        </w:rPr>
        <w:t>(assinado eletronicamente)</w:t>
      </w:r>
    </w:p>
    <w:p w14:paraId="6116C71E" w14:textId="77777777" w:rsidR="00F83D06" w:rsidRDefault="00F83D06" w:rsidP="00F83D06">
      <w:pPr>
        <w:pStyle w:val="PargrafodaLista"/>
        <w:ind w:left="0" w:right="-56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Rodrigo de Oliveira Fernandes</w:t>
      </w:r>
    </w:p>
    <w:p w14:paraId="41E1A888" w14:textId="77777777" w:rsidR="00F83D06" w:rsidRDefault="00F83D06" w:rsidP="00F83D06">
      <w:pPr>
        <w:pStyle w:val="PargrafodaLista"/>
        <w:ind w:left="0" w:right="-56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Membro da Comissão de Ética</w:t>
      </w:r>
    </w:p>
    <w:p w14:paraId="090B530F" w14:textId="77777777" w:rsidR="00F83D06" w:rsidRDefault="00F83D06" w:rsidP="00F83D06">
      <w:pPr>
        <w:pStyle w:val="PargrafodaLista"/>
        <w:ind w:left="0" w:right="-568"/>
        <w:rPr>
          <w:rFonts w:ascii="Times New Roman" w:hAnsi="Times New Roman"/>
          <w:sz w:val="24"/>
          <w:szCs w:val="24"/>
        </w:rPr>
      </w:pPr>
    </w:p>
    <w:p w14:paraId="127E1E46" w14:textId="77777777" w:rsidR="00F83D06" w:rsidRDefault="00F83D06" w:rsidP="00F83D06">
      <w:pPr>
        <w:pStyle w:val="PargrafodaLista"/>
        <w:ind w:left="0" w:right="-56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NewRomanPS" w:hAnsi="TimesNewRomanPS"/>
          <w:i/>
          <w:iCs/>
        </w:rPr>
        <w:t>(assinado eletronicamente)</w:t>
      </w:r>
    </w:p>
    <w:p w14:paraId="0B5C2346" w14:textId="77777777" w:rsidR="00F83D06" w:rsidRDefault="00F83D06" w:rsidP="00F83D06">
      <w:pPr>
        <w:pStyle w:val="PargrafodaLista"/>
        <w:ind w:left="0" w:right="-56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Marco Aurélio Pereira de Souza</w:t>
      </w:r>
    </w:p>
    <w:p w14:paraId="68C1DE9D" w14:textId="77777777" w:rsidR="00F83D06" w:rsidRPr="00931FD7" w:rsidRDefault="00F83D06" w:rsidP="00F83D06">
      <w:pPr>
        <w:pStyle w:val="PargrafodaLista"/>
        <w:ind w:left="0" w:right="-56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Membro da Comissão de Ética</w:t>
      </w:r>
    </w:p>
    <w:p w14:paraId="0079C142" w14:textId="77777777" w:rsidR="00E86121" w:rsidRDefault="00E86121"/>
    <w:sectPr w:rsidR="00E86121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CA68DE" w14:textId="77777777" w:rsidR="009F52DE" w:rsidRDefault="009F52DE" w:rsidP="00F83D06">
      <w:r>
        <w:separator/>
      </w:r>
    </w:p>
  </w:endnote>
  <w:endnote w:type="continuationSeparator" w:id="0">
    <w:p w14:paraId="71504EDE" w14:textId="77777777" w:rsidR="009F52DE" w:rsidRDefault="009F52DE" w:rsidP="00F83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3D24D" w14:textId="77777777" w:rsidR="009F52DE" w:rsidRDefault="009F52DE" w:rsidP="00F83D06">
      <w:r>
        <w:separator/>
      </w:r>
    </w:p>
  </w:footnote>
  <w:footnote w:type="continuationSeparator" w:id="0">
    <w:p w14:paraId="49963DFA" w14:textId="77777777" w:rsidR="009F52DE" w:rsidRDefault="009F52DE" w:rsidP="00F83D06">
      <w:r>
        <w:continuationSeparator/>
      </w:r>
    </w:p>
  </w:footnote>
  <w:footnote w:id="1">
    <w:p w14:paraId="73D0840E" w14:textId="3E0AA7F4" w:rsidR="00536D3B" w:rsidRDefault="00536D3B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536D3B">
        <w:t>https://portal.tcu.gov.br/institucional/gestao-da-etica/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08FB9" w14:textId="77777777" w:rsidR="00F83D06" w:rsidRPr="002053F3" w:rsidRDefault="00F31999" w:rsidP="00F83D06">
    <w:pPr>
      <w:pStyle w:val="Ttulo"/>
      <w:keepLines/>
      <w:tabs>
        <w:tab w:val="left" w:pos="851"/>
        <w:tab w:val="left" w:pos="5025"/>
      </w:tabs>
      <w:jc w:val="both"/>
      <w:outlineLvl w:val="0"/>
      <w:rPr>
        <w:rFonts w:ascii="Times New Roman" w:hAnsi="Times New Roman"/>
        <w:b/>
        <w:sz w:val="16"/>
      </w:rPr>
    </w:pPr>
    <w:r>
      <w:rPr>
        <w:noProof/>
      </w:rPr>
      <w:object w:dxaOrig="1440" w:dyaOrig="1440" w14:anchorId="4314DE4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18.3pt;margin-top:-6.3pt;width:48pt;height:38pt;z-index:251658240;mso-wrap-edited:f" o:allowincell="f">
          <v:imagedata r:id="rId1" o:title=""/>
        </v:shape>
        <o:OLEObject Type="Embed" ProgID="PBrush" ShapeID="_x0000_s2049" DrawAspect="Content" ObjectID="_1730186162" r:id="rId2"/>
      </w:object>
    </w:r>
    <w:r w:rsidR="00F83D06">
      <w:tab/>
    </w:r>
    <w:r w:rsidR="00F83D06" w:rsidRPr="002053F3">
      <w:rPr>
        <w:rFonts w:ascii="Times New Roman" w:hAnsi="Times New Roman"/>
        <w:b/>
        <w:sz w:val="16"/>
      </w:rPr>
      <w:t>TRIBUNAL DE CONTAS DA UNIÃO</w:t>
    </w:r>
  </w:p>
  <w:p w14:paraId="0E16B94D" w14:textId="77777777" w:rsidR="00F83D06" w:rsidRPr="002053F3" w:rsidRDefault="00F83D06" w:rsidP="00F83D06">
    <w:pPr>
      <w:pStyle w:val="Ttulo"/>
      <w:keepLines/>
      <w:tabs>
        <w:tab w:val="left" w:pos="851"/>
        <w:tab w:val="left" w:pos="5025"/>
      </w:tabs>
      <w:jc w:val="both"/>
      <w:outlineLvl w:val="0"/>
      <w:rPr>
        <w:sz w:val="16"/>
      </w:rPr>
    </w:pPr>
    <w:r w:rsidRPr="002053F3">
      <w:rPr>
        <w:rFonts w:ascii="Times New Roman" w:hAnsi="Times New Roman"/>
        <w:b/>
        <w:sz w:val="16"/>
      </w:rPr>
      <w:tab/>
    </w:r>
    <w:r>
      <w:rPr>
        <w:rFonts w:ascii="Times New Roman" w:hAnsi="Times New Roman"/>
        <w:b/>
        <w:sz w:val="16"/>
      </w:rPr>
      <w:t xml:space="preserve">Comissão de Ética </w:t>
    </w:r>
  </w:p>
  <w:p w14:paraId="11FB8D3A" w14:textId="18CF73A6" w:rsidR="00F83D06" w:rsidRDefault="00F83D06" w:rsidP="00F83D06">
    <w:pPr>
      <w:pStyle w:val="Cabealho"/>
      <w:tabs>
        <w:tab w:val="clear" w:pos="4252"/>
        <w:tab w:val="clear" w:pos="8504"/>
        <w:tab w:val="left" w:pos="1164"/>
      </w:tabs>
    </w:pPr>
  </w:p>
  <w:p w14:paraId="7EC6C186" w14:textId="77777777" w:rsidR="00F83D06" w:rsidRDefault="00F83D0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260985"/>
    <w:multiLevelType w:val="hybridMultilevel"/>
    <w:tmpl w:val="5DE0B438"/>
    <w:lvl w:ilvl="0" w:tplc="5E8A2E52">
      <w:start w:val="1"/>
      <w:numFmt w:val="lowerLetter"/>
      <w:lvlText w:val="%1)"/>
      <w:lvlJc w:val="left"/>
      <w:pPr>
        <w:ind w:left="15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20" w:hanging="360"/>
      </w:pPr>
    </w:lvl>
    <w:lvl w:ilvl="2" w:tplc="0416001B" w:tentative="1">
      <w:start w:val="1"/>
      <w:numFmt w:val="lowerRoman"/>
      <w:lvlText w:val="%3."/>
      <w:lvlJc w:val="right"/>
      <w:pPr>
        <w:ind w:left="2940" w:hanging="180"/>
      </w:pPr>
    </w:lvl>
    <w:lvl w:ilvl="3" w:tplc="0416000F" w:tentative="1">
      <w:start w:val="1"/>
      <w:numFmt w:val="decimal"/>
      <w:lvlText w:val="%4."/>
      <w:lvlJc w:val="left"/>
      <w:pPr>
        <w:ind w:left="3660" w:hanging="360"/>
      </w:pPr>
    </w:lvl>
    <w:lvl w:ilvl="4" w:tplc="04160019" w:tentative="1">
      <w:start w:val="1"/>
      <w:numFmt w:val="lowerLetter"/>
      <w:lvlText w:val="%5."/>
      <w:lvlJc w:val="left"/>
      <w:pPr>
        <w:ind w:left="4380" w:hanging="360"/>
      </w:pPr>
    </w:lvl>
    <w:lvl w:ilvl="5" w:tplc="0416001B" w:tentative="1">
      <w:start w:val="1"/>
      <w:numFmt w:val="lowerRoman"/>
      <w:lvlText w:val="%6."/>
      <w:lvlJc w:val="right"/>
      <w:pPr>
        <w:ind w:left="5100" w:hanging="180"/>
      </w:pPr>
    </w:lvl>
    <w:lvl w:ilvl="6" w:tplc="0416000F" w:tentative="1">
      <w:start w:val="1"/>
      <w:numFmt w:val="decimal"/>
      <w:lvlText w:val="%7."/>
      <w:lvlJc w:val="left"/>
      <w:pPr>
        <w:ind w:left="5820" w:hanging="360"/>
      </w:pPr>
    </w:lvl>
    <w:lvl w:ilvl="7" w:tplc="04160019" w:tentative="1">
      <w:start w:val="1"/>
      <w:numFmt w:val="lowerLetter"/>
      <w:lvlText w:val="%8."/>
      <w:lvlJc w:val="left"/>
      <w:pPr>
        <w:ind w:left="6540" w:hanging="360"/>
      </w:pPr>
    </w:lvl>
    <w:lvl w:ilvl="8" w:tplc="0416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 w15:restartNumberingAfterBreak="0">
    <w:nsid w:val="16A86621"/>
    <w:multiLevelType w:val="hybridMultilevel"/>
    <w:tmpl w:val="0B225936"/>
    <w:lvl w:ilvl="0" w:tplc="BE344044">
      <w:start w:val="1"/>
      <w:numFmt w:val="decimal"/>
      <w:lvlText w:val="%1."/>
      <w:lvlJc w:val="left"/>
      <w:pPr>
        <w:ind w:left="4316" w:hanging="360"/>
      </w:pPr>
    </w:lvl>
    <w:lvl w:ilvl="1" w:tplc="04160019">
      <w:start w:val="1"/>
      <w:numFmt w:val="lowerLetter"/>
      <w:lvlText w:val="%2."/>
      <w:lvlJc w:val="left"/>
      <w:pPr>
        <w:ind w:left="2844" w:hanging="360"/>
      </w:pPr>
    </w:lvl>
    <w:lvl w:ilvl="2" w:tplc="0416001B" w:tentative="1">
      <w:start w:val="1"/>
      <w:numFmt w:val="lowerRoman"/>
      <w:lvlText w:val="%3."/>
      <w:lvlJc w:val="right"/>
      <w:pPr>
        <w:ind w:left="3564" w:hanging="180"/>
      </w:pPr>
    </w:lvl>
    <w:lvl w:ilvl="3" w:tplc="0416000F" w:tentative="1">
      <w:start w:val="1"/>
      <w:numFmt w:val="decimal"/>
      <w:lvlText w:val="%4."/>
      <w:lvlJc w:val="left"/>
      <w:pPr>
        <w:ind w:left="4284" w:hanging="360"/>
      </w:pPr>
    </w:lvl>
    <w:lvl w:ilvl="4" w:tplc="04160019" w:tentative="1">
      <w:start w:val="1"/>
      <w:numFmt w:val="lowerLetter"/>
      <w:lvlText w:val="%5."/>
      <w:lvlJc w:val="left"/>
      <w:pPr>
        <w:ind w:left="5004" w:hanging="360"/>
      </w:pPr>
    </w:lvl>
    <w:lvl w:ilvl="5" w:tplc="0416001B" w:tentative="1">
      <w:start w:val="1"/>
      <w:numFmt w:val="lowerRoman"/>
      <w:lvlText w:val="%6."/>
      <w:lvlJc w:val="right"/>
      <w:pPr>
        <w:ind w:left="5724" w:hanging="180"/>
      </w:pPr>
    </w:lvl>
    <w:lvl w:ilvl="6" w:tplc="0416000F" w:tentative="1">
      <w:start w:val="1"/>
      <w:numFmt w:val="decimal"/>
      <w:lvlText w:val="%7."/>
      <w:lvlJc w:val="left"/>
      <w:pPr>
        <w:ind w:left="6444" w:hanging="360"/>
      </w:pPr>
    </w:lvl>
    <w:lvl w:ilvl="7" w:tplc="04160019" w:tentative="1">
      <w:start w:val="1"/>
      <w:numFmt w:val="lowerLetter"/>
      <w:lvlText w:val="%8."/>
      <w:lvlJc w:val="left"/>
      <w:pPr>
        <w:ind w:left="7164" w:hanging="360"/>
      </w:pPr>
    </w:lvl>
    <w:lvl w:ilvl="8" w:tplc="0416001B" w:tentative="1">
      <w:start w:val="1"/>
      <w:numFmt w:val="lowerRoman"/>
      <w:lvlText w:val="%9."/>
      <w:lvlJc w:val="right"/>
      <w:pPr>
        <w:ind w:left="7884" w:hanging="180"/>
      </w:pPr>
    </w:lvl>
  </w:abstractNum>
  <w:abstractNum w:abstractNumId="2" w15:restartNumberingAfterBreak="0">
    <w:nsid w:val="4250431F"/>
    <w:multiLevelType w:val="hybridMultilevel"/>
    <w:tmpl w:val="3A8A16AC"/>
    <w:lvl w:ilvl="0" w:tplc="B33ED154">
      <w:start w:val="1"/>
      <w:numFmt w:val="upperRoman"/>
      <w:lvlText w:val="%1)"/>
      <w:lvlJc w:val="left"/>
      <w:pPr>
        <w:ind w:left="186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20" w:hanging="360"/>
      </w:pPr>
    </w:lvl>
    <w:lvl w:ilvl="2" w:tplc="0416001B" w:tentative="1">
      <w:start w:val="1"/>
      <w:numFmt w:val="lowerRoman"/>
      <w:lvlText w:val="%3."/>
      <w:lvlJc w:val="right"/>
      <w:pPr>
        <w:ind w:left="2940" w:hanging="180"/>
      </w:pPr>
    </w:lvl>
    <w:lvl w:ilvl="3" w:tplc="0416000F" w:tentative="1">
      <w:start w:val="1"/>
      <w:numFmt w:val="decimal"/>
      <w:lvlText w:val="%4."/>
      <w:lvlJc w:val="left"/>
      <w:pPr>
        <w:ind w:left="3660" w:hanging="360"/>
      </w:pPr>
    </w:lvl>
    <w:lvl w:ilvl="4" w:tplc="04160019" w:tentative="1">
      <w:start w:val="1"/>
      <w:numFmt w:val="lowerLetter"/>
      <w:lvlText w:val="%5."/>
      <w:lvlJc w:val="left"/>
      <w:pPr>
        <w:ind w:left="4380" w:hanging="360"/>
      </w:pPr>
    </w:lvl>
    <w:lvl w:ilvl="5" w:tplc="0416001B" w:tentative="1">
      <w:start w:val="1"/>
      <w:numFmt w:val="lowerRoman"/>
      <w:lvlText w:val="%6."/>
      <w:lvlJc w:val="right"/>
      <w:pPr>
        <w:ind w:left="5100" w:hanging="180"/>
      </w:pPr>
    </w:lvl>
    <w:lvl w:ilvl="6" w:tplc="0416000F" w:tentative="1">
      <w:start w:val="1"/>
      <w:numFmt w:val="decimal"/>
      <w:lvlText w:val="%7."/>
      <w:lvlJc w:val="left"/>
      <w:pPr>
        <w:ind w:left="5820" w:hanging="360"/>
      </w:pPr>
    </w:lvl>
    <w:lvl w:ilvl="7" w:tplc="04160019" w:tentative="1">
      <w:start w:val="1"/>
      <w:numFmt w:val="lowerLetter"/>
      <w:lvlText w:val="%8."/>
      <w:lvlJc w:val="left"/>
      <w:pPr>
        <w:ind w:left="6540" w:hanging="360"/>
      </w:pPr>
    </w:lvl>
    <w:lvl w:ilvl="8" w:tplc="0416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452F53A2"/>
    <w:multiLevelType w:val="hybridMultilevel"/>
    <w:tmpl w:val="9F6A3838"/>
    <w:lvl w:ilvl="0" w:tplc="62A018B2">
      <w:start w:val="2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7BC2197A"/>
    <w:multiLevelType w:val="hybridMultilevel"/>
    <w:tmpl w:val="30766636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422839147">
    <w:abstractNumId w:val="1"/>
  </w:num>
  <w:num w:numId="2" w16cid:durableId="1657297318">
    <w:abstractNumId w:val="4"/>
  </w:num>
  <w:num w:numId="3" w16cid:durableId="69815460">
    <w:abstractNumId w:val="0"/>
  </w:num>
  <w:num w:numId="4" w16cid:durableId="1300762055">
    <w:abstractNumId w:val="3"/>
  </w:num>
  <w:num w:numId="5" w16cid:durableId="14144295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A52"/>
    <w:rsid w:val="000635BA"/>
    <w:rsid w:val="000D43D4"/>
    <w:rsid w:val="00191269"/>
    <w:rsid w:val="001F7EE4"/>
    <w:rsid w:val="00245139"/>
    <w:rsid w:val="002A5096"/>
    <w:rsid w:val="002B6D45"/>
    <w:rsid w:val="003105E8"/>
    <w:rsid w:val="003676DC"/>
    <w:rsid w:val="003C518F"/>
    <w:rsid w:val="003E376A"/>
    <w:rsid w:val="005006A9"/>
    <w:rsid w:val="005354C1"/>
    <w:rsid w:val="00536D3B"/>
    <w:rsid w:val="00564AE2"/>
    <w:rsid w:val="005A349D"/>
    <w:rsid w:val="005E46F6"/>
    <w:rsid w:val="00633B51"/>
    <w:rsid w:val="006C2986"/>
    <w:rsid w:val="006F1411"/>
    <w:rsid w:val="006F522D"/>
    <w:rsid w:val="00747FF9"/>
    <w:rsid w:val="00754030"/>
    <w:rsid w:val="007962F9"/>
    <w:rsid w:val="007C3D1C"/>
    <w:rsid w:val="007F7A52"/>
    <w:rsid w:val="008348C4"/>
    <w:rsid w:val="008E745C"/>
    <w:rsid w:val="008F188E"/>
    <w:rsid w:val="00951832"/>
    <w:rsid w:val="009906AD"/>
    <w:rsid w:val="009D3FC5"/>
    <w:rsid w:val="009D4B73"/>
    <w:rsid w:val="009F52DE"/>
    <w:rsid w:val="00A157A9"/>
    <w:rsid w:val="00A347EA"/>
    <w:rsid w:val="00A62FA3"/>
    <w:rsid w:val="00A7345B"/>
    <w:rsid w:val="00B125DA"/>
    <w:rsid w:val="00B140B8"/>
    <w:rsid w:val="00B32B38"/>
    <w:rsid w:val="00BB5186"/>
    <w:rsid w:val="00C416BE"/>
    <w:rsid w:val="00C652EE"/>
    <w:rsid w:val="00CB3DAA"/>
    <w:rsid w:val="00CE4C4E"/>
    <w:rsid w:val="00CE749E"/>
    <w:rsid w:val="00D34B01"/>
    <w:rsid w:val="00D504A5"/>
    <w:rsid w:val="00D80708"/>
    <w:rsid w:val="00D95F98"/>
    <w:rsid w:val="00E86121"/>
    <w:rsid w:val="00EF7501"/>
    <w:rsid w:val="00F31999"/>
    <w:rsid w:val="00F83D06"/>
    <w:rsid w:val="00FC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D9C25C9"/>
  <w15:docId w15:val="{2095EC62-DE1D-43BD-BB73-9D841ED1D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4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83D0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3D06"/>
  </w:style>
  <w:style w:type="paragraph" w:styleId="Rodap">
    <w:name w:val="footer"/>
    <w:basedOn w:val="Normal"/>
    <w:link w:val="RodapChar"/>
    <w:uiPriority w:val="99"/>
    <w:unhideWhenUsed/>
    <w:rsid w:val="00F83D0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3D06"/>
  </w:style>
  <w:style w:type="paragraph" w:styleId="Ttulo">
    <w:name w:val="Title"/>
    <w:basedOn w:val="Normal"/>
    <w:link w:val="TtuloChar"/>
    <w:qFormat/>
    <w:rsid w:val="00F83D06"/>
    <w:pPr>
      <w:jc w:val="center"/>
    </w:pPr>
    <w:rPr>
      <w:rFonts w:ascii="Arial" w:hAnsi="Arial"/>
    </w:rPr>
  </w:style>
  <w:style w:type="character" w:customStyle="1" w:styleId="TtuloChar">
    <w:name w:val="Título Char"/>
    <w:basedOn w:val="Fontepargpadro"/>
    <w:link w:val="Ttulo"/>
    <w:rsid w:val="00F83D06"/>
    <w:rPr>
      <w:rFonts w:ascii="Arial" w:eastAsia="Times New Roman" w:hAnsi="Arial" w:cs="Times New Roman"/>
      <w:sz w:val="24"/>
      <w:szCs w:val="24"/>
      <w:lang w:eastAsia="pt-BR"/>
    </w:rPr>
  </w:style>
  <w:style w:type="paragraph" w:customStyle="1" w:styleId="Cabealho0">
    <w:name w:val="#Cabeçalho"/>
    <w:basedOn w:val="Normal"/>
    <w:rsid w:val="00F83D06"/>
    <w:pPr>
      <w:suppressAutoHyphens/>
      <w:spacing w:line="220" w:lineRule="exact"/>
      <w:jc w:val="both"/>
    </w:pPr>
    <w:rPr>
      <w:rFonts w:ascii="Arial" w:eastAsia="Calibri" w:hAnsi="Arial"/>
      <w:sz w:val="18"/>
      <w:lang w:eastAsia="ar-SA"/>
    </w:rPr>
  </w:style>
  <w:style w:type="paragraph" w:styleId="PargrafodaLista">
    <w:name w:val="List Paragraph"/>
    <w:basedOn w:val="Normal"/>
    <w:uiPriority w:val="34"/>
    <w:qFormat/>
    <w:rsid w:val="00F83D06"/>
    <w:pPr>
      <w:spacing w:after="160" w:line="252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F83D06"/>
    <w:pPr>
      <w:spacing w:before="100" w:beforeAutospacing="1" w:after="100" w:afterAutospacing="1"/>
    </w:pPr>
  </w:style>
  <w:style w:type="paragraph" w:customStyle="1" w:styleId="Artigo">
    <w:name w:val="#Artigo"/>
    <w:basedOn w:val="Normal"/>
    <w:rsid w:val="00F83D06"/>
    <w:pPr>
      <w:widowControl w:val="0"/>
      <w:suppressAutoHyphens/>
      <w:spacing w:after="120"/>
      <w:ind w:firstLine="1134"/>
      <w:jc w:val="both"/>
    </w:pPr>
    <w:rPr>
      <w:rFonts w:ascii="Calibri" w:hAnsi="Calibri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F83D06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F83D0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uiPriority w:val="99"/>
    <w:semiHidden/>
    <w:unhideWhenUsed/>
    <w:rsid w:val="00F83D06"/>
    <w:rPr>
      <w:vertAlign w:val="superscript"/>
    </w:rPr>
  </w:style>
  <w:style w:type="paragraph" w:customStyle="1" w:styleId="paragrafo-2">
    <w:name w:val="paragrafo-2"/>
    <w:basedOn w:val="Normal"/>
    <w:rsid w:val="00F83D06"/>
    <w:pPr>
      <w:spacing w:after="120"/>
      <w:ind w:firstLine="1134"/>
      <w:jc w:val="both"/>
    </w:pPr>
  </w:style>
  <w:style w:type="paragraph" w:customStyle="1" w:styleId="Default">
    <w:name w:val="Default"/>
    <w:link w:val="DefaultChar"/>
    <w:rsid w:val="00F83D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basedOn w:val="Fontepargpadro"/>
    <w:link w:val="Default"/>
    <w:rsid w:val="00F83D06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88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94D99A-8C8F-4472-97EB-F8613BDE2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516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TCU</Company>
  <LinksUpToDate>false</LinksUpToDate>
  <CharactersWithSpaces>3297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Rosangela de Oliveira Andrade</dc:creator>
  <cp:keywords/>
  <dc:description/>
  <cp:lastModifiedBy>Carlos Antonio Matias</cp:lastModifiedBy>
  <cp:revision>2</cp:revision>
  <dcterms:created xsi:type="dcterms:W3CDTF">2022-11-17T13:30:00Z</dcterms:created>
  <dcterms:modified xsi:type="dcterms:W3CDTF">2022-11-17T13:30:00Z</dcterms:modified>
</cp:coreProperties>
</file>